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   <Relationship Id="rId1"
                 Type="http://schemas.openxmlformats.org/officeDocument/2006/relationships/officeDocument"
                 Target="word/document.xml"/>
</Relationships>
</file>

<file path=word/document.xml><?xml version="1.0" encoding="utf-8"?>
<w:document xmlns:w="http://schemas.openxmlformats.org/wordprocessingml/2006/main">
  <w:body>
    <w:bookmarkStart w:id="4006" w:name="muhj19760324_001_en-body"/>
    <w:p>
      <w:pPr>
        <w:pStyle w:val="head-default"/>
        <w:keepNext/>
        <w:keepLines/>
        <w:spacing w:before="160"/>
        <w:ind w:firstLine="0"/>
        <w:jc w:val="center"/>
      </w:pPr>
      <w:r>
        <w:rPr/>
        <w:t xml:space="preserve">The Universal House of Justice</w:t>
      </w:r>
    </w:p>
    <w:p>
      <w:pPr>
        <w:pStyle w:val="head-default"/>
        <w:keepNext/>
        <w:keepLines/>
        <w:spacing w:before="160"/>
        <w:ind w:firstLine="0"/>
        <w:jc w:val="center"/>
      </w:pPr>
      <w:r>
        <w:rPr>
          <w:sz w:val="18"/>
          <w:szCs w:val="18"/>
        </w:rPr>
        <w:t xml:space="preserve">Department of the Secretariat</w:t>
      </w:r>
    </w:p>
    <w:p>
      <w:pPr>
        <w:keepNext/>
      </w:pPr>
      <w:r/>
    </w:p>
    <w:p>
      <w:pPr>
        <w:ind w:firstLine="0"/>
        <w:jc w:val="right"/>
      </w:pPr>
      <w:r>
        <w:rPr/>
        <w:t xml:space="preserve">24 March 1976</w:t>
      </w:r>
    </w:p>
    <w:p>
      <w:pPr>
        <w:keepNext/>
      </w:pPr>
      <w:r/>
    </w:p>
    <w:p>
      <w:pPr>
        <w:keepNext/>
        <w:keepLines/>
      </w:pPr>
      <w:r/>
    </w:p>
    <w:p>
      <w:pPr>
        <w:ind w:firstLine="0"/>
        <w:jc w:val="left"/>
      </w:pPr>
      <w:r>
        <w:rPr/>
        <w:t xml:space="preserve">To all National Spiritual Assemblies</w:t>
      </w:r>
    </w:p>
    <w:p>
      <w:pPr>
        <w:keepNext/>
      </w:pPr>
      <w:r/>
    </w:p>
    <w:p>
      <w:pPr>
        <w:ind w:firstLine="0"/>
        <w:jc w:val="left"/>
      </w:pPr>
      <w:r>
        <w:rPr/>
        <w:t xml:space="preserve">Dear Bahá’í Friends,</w:t>
      </w:r>
    </w:p>
    <w:p>
      <w:pPr>
        <w:keepNext/>
      </w:pPr>
      <w:r/>
    </w:p>
    <w:bookmarkStart w:id="50022" w:name="muhj19760324_001_en-p1"/>
    <w:p>
      <w:pPr>
        <w:ind w:firstLine="284"/>
        <w:jc w:val="left"/>
      </w:pPr>
      <w:r>
        <w:rPr/>
        <w:t xml:space="preserve">As you will have seen in the Convention message, the Universal House of Justice has appointed six new Counselors and has authorized the appointment of ninety more Auxiliary Board members.</w:t>
      </w:r>
    </w:p>
    <w:p>
      <w:pPr>
        <w:keepNext/>
      </w:pPr>
      <w:r/>
    </w:p>
    <w:bookmarkEnd w:id="50022"/>
    <w:bookmarkStart w:id="50025" w:name="muhj19760324_001_en-p2"/>
    <w:p>
      <w:pPr>
        <w:ind w:firstLine="284"/>
        <w:jc w:val="left"/>
      </w:pPr>
      <w:r>
        <w:rPr/>
        <w:t xml:space="preserve">On the instruction of the House of Justice we now enclose for your information a complete list of the members of the Continental Boards of Counselors following the above appointments, and a list of the Auxiliary Boards showing the increases.</w:t>
      </w:r>
    </w:p>
    <w:p>
      <w:pPr>
        <w:keepNext/>
      </w:pPr>
      <w:r/>
    </w:p>
    <w:bookmarkEnd w:id="50025"/>
    <w:p>
      <w:pPr>
        <w:ind w:left="4305"/>
        <w:jc w:val="left"/>
      </w:pPr>
      <w:r>
        <w:rPr/>
        <w:t xml:space="preserve">With loving Bahá’í greetings,</w:t>
      </w:r>
    </w:p>
    <w:p>
      <w:pPr>
        <w:keepNext/>
      </w:pPr>
      <w:r/>
    </w:p>
    <w:p>
      <w:pPr>
        <w:ind w:left="4305"/>
        <w:jc w:val="left"/>
      </w:pPr>
      <w:r>
        <w:rPr/>
        <w:t xml:space="preserve">Department of the Secretariat</w:t>
      </w:r>
    </w:p>
    <w:p>
      <w:pPr>
        <w:keepNext/>
        <w:keepLines/>
      </w:pPr>
      <w:r/>
    </w:p>
    <w:p>
      <w:pPr>
        <w:keepNext/>
        <w:keepLines/>
      </w:pPr>
      <w:r/>
    </w:p>
    <w:p>
      <w:pPr>
        <w:pStyle w:val="head-default"/>
        <w:keepNext/>
        <w:keepLines/>
        <w:spacing w:before="160"/>
        <w:jc w:val="center"/>
      </w:pPr>
      <w:r>
        <w:rPr>
          <w:sz w:val="24"/>
          <w:szCs w:val="24"/>
        </w:rPr>
        <w:t xml:space="preserve">MEMBERSHIP OF THE CONTINENTAL BOARDS OF COUNSELORS–MARCH 1976</w:t>
      </w:r>
    </w:p>
    <w:p>
      <w:pPr>
        <w:keepNext/>
        <w:keepLines/>
      </w:pPr>
      <w:r/>
    </w:p>
    <w:tbl>
      <w:tblPr>
        <w:tblW w:w="0" w:type="auto"/>
        <w:tblInd w:w="0" w:type="dxa"/>
        <w:jc w:val="left"/>
      </w:tblP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AFRICA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Northern Africa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Muḥammad Kebdani, Muḥammad Muṣṭafá, ‘Imád Ṣábirán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Western Africa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Ḥusayn Ardikání, Friday Ekpe, Zekrullah Kazemi, Thelma Khelghati, Mihdí Samandarí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Central &amp; East Africa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Hushang Ahdieh, Oloro Epyeru, Kolonario Oule, Isobel Sabri, Peter Vuyiya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Southern Africa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Seewoosumbur-Jeehoba Appa, Shidan Fat’he-Aazam, William Masehla, Bahíyyih Winckler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WESTERN HEMISPHERE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North America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Lloyd Gardner, Sarah Pereira, Velma Sherrill, Edna True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Central America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Carmen de Burafato, Rowland Estall, Artemus Lamb, Paul Lucas, Alfred Osborne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 America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Leonora Armstrong, Athos Costas, Mas‘úd </w:t>
            </w:r>
            <w:r>
              <w:rPr>
                <w:sz w:val="18"/>
                <w:szCs w:val="18"/>
                <w:u w:val="single"/>
              </w:rPr>
              <w:t xml:space="preserve">Kh</w:t>
            </w:r>
            <w:r>
              <w:rPr>
                <w:sz w:val="18"/>
                <w:szCs w:val="18"/>
              </w:rPr>
              <w:t xml:space="preserve">amsí, Peter McLaren, Raúl Pavón, Donald Witzel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ASIA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Western Asia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Íraj Ayman, Masiḥ Farhangí, Ḥádí Raḥmání, Manú</w:t>
            </w:r>
            <w:r>
              <w:rPr>
                <w:sz w:val="18"/>
                <w:szCs w:val="18"/>
                <w:u w:val="single"/>
              </w:rPr>
              <w:t xml:space="preserve">ch</w:t>
            </w:r>
            <w:r>
              <w:rPr>
                <w:sz w:val="18"/>
                <w:szCs w:val="18"/>
              </w:rPr>
              <w:t xml:space="preserve">ihr Salmánpúr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 Central Asia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Burháni’d-Dín Af</w:t>
            </w:r>
            <w:r>
              <w:rPr>
                <w:sz w:val="18"/>
                <w:szCs w:val="18"/>
                <w:u w:val="single"/>
              </w:rPr>
              <w:t xml:space="preserve">sh</w:t>
            </w:r>
            <w:r>
              <w:rPr>
                <w:sz w:val="18"/>
                <w:szCs w:val="18"/>
              </w:rPr>
              <w:t xml:space="preserve">ín, Shirin Boman, Salisa Kermani, Dipchand Khianra, Zena Sorabjee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Northeastern Asia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Richard Benson, Elena Marsella, Rúḥu’lláh Mumtází, Hideya Suzuki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Southeastern Asia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Yan Kee Leong, Firaydún Mí</w:t>
            </w:r>
            <w:r>
              <w:rPr>
                <w:sz w:val="18"/>
                <w:szCs w:val="18"/>
                <w:u w:val="single"/>
              </w:rPr>
              <w:t xml:space="preserve">th</w:t>
            </w:r>
            <w:r>
              <w:rPr>
                <w:sz w:val="18"/>
                <w:szCs w:val="18"/>
              </w:rPr>
              <w:t xml:space="preserve">áqíyán, </w:t>
            </w:r>
            <w:r>
              <w:rPr>
                <w:sz w:val="18"/>
                <w:szCs w:val="18"/>
                <w:u w:val="single"/>
              </w:rPr>
              <w:t xml:space="preserve">Kh</w:t>
            </w:r>
            <w:r>
              <w:rPr>
                <w:sz w:val="18"/>
                <w:szCs w:val="18"/>
              </w:rPr>
              <w:t xml:space="preserve">udáraḥm Paymán, Vicente Samaniego, Chellie Sundram</w:t>
            </w:r>
          </w:p>
        </w:tc>
      </w:tr>
    </w:tbl>
    <w:p>
      <w:pPr>
        <w:keepNext/>
      </w:pPr>
      <w:r/>
    </w:p>
    <w:p>
      <w:pPr>
        <w:keepNext/>
        <w:keepLines/>
      </w:pPr>
      <w:r/>
    </w:p>
    <w:p>
      <w:pPr>
        <w:pStyle w:val="head-default"/>
        <w:keepNext/>
        <w:keepLines/>
        <w:spacing w:before="160"/>
      </w:pPr>
      <w:r>
        <w:rPr>
          <w:b/>
          <w:sz w:val="18"/>
          <w:szCs w:val="18"/>
        </w:rPr>
        <w:t xml:space="preserve">AUSTRALASIA</w:t>
      </w:r>
    </w:p>
    <w:p>
      <w:pPr>
        <w:ind w:left="150"/>
      </w:pPr>
      <w:r>
        <w:rPr>
          <w:sz w:val="18"/>
          <w:szCs w:val="18"/>
        </w:rPr>
        <w:t xml:space="preserve">Suhayl ‘Alá’í, Owen Battrick, Howard Harwood, Violet Hoehnke, Thelma Perks</w:t>
      </w:r>
    </w:p>
    <w:p>
      <w:pPr>
        <w:keepNext/>
        <w:keepLines/>
      </w:pPr>
      <w:r/>
    </w:p>
    <w:p>
      <w:pPr>
        <w:pStyle w:val="head-default"/>
        <w:keepNext/>
        <w:keepLines/>
        <w:spacing w:before="160"/>
      </w:pPr>
      <w:r>
        <w:rPr>
          <w:b/>
          <w:sz w:val="18"/>
          <w:szCs w:val="18"/>
        </w:rPr>
        <w:t xml:space="preserve">EUROPE</w:t>
      </w:r>
    </w:p>
    <w:p>
      <w:pPr>
        <w:ind w:left="150"/>
      </w:pPr>
      <w:r>
        <w:rPr>
          <w:sz w:val="18"/>
          <w:szCs w:val="18"/>
        </w:rPr>
        <w:t xml:space="preserve">Erik Blumenthal, Anneliese Bopp, Dorothy Ferraby, Louis Hénuzet, Betty Reed, Adib Taherzadeh</w:t>
      </w:r>
    </w:p>
    <w:p>
      <w:pPr>
        <w:keepNext/>
        <w:keepLines/>
      </w:pPr>
      <w:r/>
    </w:p>
    <w:p>
      <w:pPr>
        <w:keepNext/>
        <w:keepLines/>
      </w:pPr>
      <w:r/>
    </w:p>
    <w:p>
      <w:pPr>
        <w:pStyle w:val="head-default"/>
        <w:keepNext/>
        <w:keepLines/>
        <w:spacing w:before="160"/>
        <w:jc w:val="center"/>
      </w:pPr>
      <w:r>
        <w:rPr>
          <w:sz w:val="24"/>
          <w:szCs w:val="24"/>
        </w:rPr>
        <w:t xml:space="preserve">AUXILIARY BOARDS—RIḌVÁN 1976</w:t>
      </w:r>
    </w:p>
    <w:p>
      <w:pPr>
        <w:keepNext/>
      </w:pPr>
      <w:r/>
    </w:p>
    <w:p>
      <w:pPr>
        <w:keepNext/>
        <w:keepLines/>
      </w:pPr>
      <w:r/>
    </w:p>
    <w:tbl>
      <w:tblPr>
        <w:tblW w:w="0" w:type="auto"/>
        <w:tblInd w:w="0" w:type="dxa"/>
        <w:jc w:val="left"/>
      </w:tblP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Former</w:t>
            </w:r>
            <w:r>
              <w:br/>
            </w:r>
            <w:r>
              <w:rPr>
                <w:b/>
                <w:sz w:val="18"/>
                <w:szCs w:val="18"/>
              </w:rPr>
              <w:t xml:space="preserve">Number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Present</w:t>
            </w:r>
            <w:r>
              <w:br/>
            </w:r>
            <w:r>
              <w:rPr>
                <w:b/>
                <w:sz w:val="18"/>
                <w:szCs w:val="18"/>
              </w:rPr>
              <w:t xml:space="preserve">Increase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New</w:t>
            </w:r>
            <w:r>
              <w:br/>
            </w:r>
            <w:r>
              <w:rPr>
                <w:b/>
                <w:sz w:val="18"/>
                <w:szCs w:val="18"/>
              </w:rPr>
              <w:t xml:space="preserve">Total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Africa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Protection: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Northern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5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5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Western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5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6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11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Central and East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13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13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4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3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7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27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36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Propagation: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Northern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5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5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Western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11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3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14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Central and East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19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19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10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6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16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45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54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Western Hemisphere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Protection: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North America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Central America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2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11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 America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7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16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27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36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Propagation: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North America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18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18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Central America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7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16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 America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27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11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38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54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72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Asia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Protection: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Western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 Central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3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3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6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Northeastern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3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3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Southeastern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3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6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18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27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Propagation: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Western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18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18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 Central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15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15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30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Northeastern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15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15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Southeastern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15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12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27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63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90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Australasia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Protection: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Propagation: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18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Europe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Protection: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9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Propagation: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27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-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sz w:val="18"/>
                <w:szCs w:val="18"/>
              </w:rPr>
              <w:t xml:space="preserve">27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</w:rPr>
              <w:t xml:space="preserve">TOTAL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288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90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378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Total Protection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90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27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117</w:t>
            </w:r>
          </w:p>
        </w:tc>
      </w:tr>
      <w:tr>
        <w:trPr>
          <w:cantSplit/>
        </w:trPr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Total Propagation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198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63</w:t>
            </w:r>
          </w:p>
        </w:tc>
        <w:tc>
          <w:tcPr>
            <w:tcW w:w="0" w:type="auto"/>
            <w:vAlign w:val="left"/>
          </w:tcPr>
          <w:p>
            <w:pPr>
              <w:ind w:left="113" w:right="113"/>
              <w:jc w:val="left"/>
            </w:pPr>
            <w:r>
              <w:rPr>
                <w:b/>
                <w:sz w:val="18"/>
                <w:szCs w:val="18"/>
              </w:rPr>
              <w:t xml:space="preserve">261</w:t>
            </w:r>
          </w:p>
        </w:tc>
      </w:tr>
    </w:tbl>
    <w:p>
      <w:pPr>
        <w:keepNext/>
      </w:pPr>
      <w:r/>
    </w:p>
    <w:bookmarkEnd w:id="4006"/>
    <w:p>
      <w:pPr>
        <w:keepNext/>
        <w:pBdr>
          <w:bottom w:val="single" w:sz="5" w:space="1"/>
        </w:pBdr>
        <w:spacing w:before="300" w:after="40"/>
      </w:pPr>
    </w:p>
    <w:bookmarkStart w:id="9990660009" w:name="copyright-terms-use"/>
    <w:p>
      <w:pPr>
        <w:ind w:firstLine="0"/>
        <w:jc w:val="left"/>
      </w:pPr>
      <w:r>
        <w:rPr>
          <w:rFonts w:ascii="Arial Unicode MS" w:eastAsia="Arial Unicode MS" w:hAnsi="Arial Unicode MS" w:cs="Arial Unicode MS"/>
          <w:sz w:val="12"/>
          <w:szCs w:val="12"/>
        </w:rPr>
        <w:t xml:space="preserve">This document has been downloaded from the </w:t>
      </w:r>
      <w:hyperlink xmlns:r="http://schemas.openxmlformats.org/officeDocument/2006/relationships" r:id="rId3001">
        <w:r>
          <w:rPr>
            <w:rFonts w:ascii="Arial Unicode MS" w:eastAsia="Arial Unicode MS" w:hAnsi="Arial Unicode MS" w:cs="Arial Unicode MS"/>
            <w:sz w:val="12"/>
            <w:szCs w:val="12"/>
            <w:u w:val="single"/>
          </w:rPr>
          <w:t xml:space="preserve">Bahá’í Reference Library</w:t>
        </w:r>
      </w:hyperlink>
      <w:r>
        <w:rPr>
          <w:rFonts w:ascii="Arial Unicode MS" w:eastAsia="Arial Unicode MS" w:hAnsi="Arial Unicode MS" w:cs="Arial Unicode MS"/>
          <w:sz w:val="12"/>
          <w:szCs w:val="12"/>
        </w:rPr>
        <w:t xml:space="preserve">. You are free to use its content subject to the terms of use found at </w:t>
      </w:r>
      <w:hyperlink xmlns:r="http://schemas.openxmlformats.org/officeDocument/2006/relationships" r:id="rId3004">
        <w:r>
          <w:rPr>
            <w:rFonts w:ascii="Arial Unicode MS" w:eastAsia="Arial Unicode MS" w:hAnsi="Arial Unicode MS" w:cs="Arial Unicode MS"/>
            <w:sz w:val="12"/>
            <w:szCs w:val="12"/>
            <w:u w:val="single"/>
          </w:rPr>
          <w:t xml:space="preserve">www.bahai.org/legal</w:t>
        </w:r>
      </w:hyperlink>
    </w:p>
    <w:bookmarkEnd w:id="9990660009"/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m="http://schemas.openxmlformats.org/officeDocument/2006/math" xmlns:w10="urn:schemas-microsoft-com:office:word" xmlns:sl="http://schemas.openxmlformats.org/schemaLibrary/2006/main" xmlns:w="http://schemas.openxmlformats.org/wordprocessingml/2006/main">
  <w:proofState w:spelling="clean" w:grammar="clean"/>
  <w:compat>
    <w:spaceForUL/>
    <w:balanceSingleByteDoubleByteWidth/>
    <w:doNotLeaveBackslashAlone/>
    <w:ulTrailSpace/>
    <w:doNotExpandShiftReturn/>
    <w:adjustLineHeightInTable/>
  </w:compat>
</w:settings>
</file>

<file path=word/styles.xml><?xml version="1.0" encoding="utf-8"?>
<w:styles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</w:rPr>
    </w:rPrDefault>
    <w:pPrDefault>
      <w:pPr>
        <w:spacing w:line="240"/>
        <w:jc w:val="both"/>
      </w:pPr>
    </w:pPrDefault>
  </w:docDefaults>
  <w:style w:type="character" w:styleId="NotesReference">
    <w:name w:val="note reference"/>
    <w:rPr>
      <w:vertAlign w:val="superscript"/>
    </w:rPr>
  </w:style>
  <w:style w:type="paragraph" w:styleId="boundarypage">
    <w:hidden/>
    <w:pPr>
      <w:keepNext/>
      <w:spacing w:before="0" w:after="0"/>
      <w:jc w:val="center"/>
    </w:pPr>
    <w:rPr>
      <w:sz w:val="32"/>
      <w:szCs w:val="32"/>
    </w:rPr>
  </w:style>
  <w:style w:type="paragraph" w:styleId="boundarypage-subtitle">
    <w:hidden/>
    <w:pPr>
      <w:keepNext/>
      <w:spacing w:before="0" w:after="0"/>
      <w:jc w:val="center"/>
    </w:pPr>
    <w:rPr>
      <w:sz w:val="22"/>
      <w:szCs w:val="22"/>
    </w:rPr>
  </w:style>
  <w:style w:type="paragraph" w:styleId="boundarypage-para">
    <w:hidden/>
    <w:pPr>
      <w:keepNext/>
      <w:spacing w:before="0" w:after="0"/>
      <w:jc w:val="center"/>
    </w:pPr>
    <w:rPr>
      <w:sz w:val="22"/>
      <w:szCs w:val="22"/>
    </w:rPr>
  </w:style>
  <w:style w:type="paragraph" w:styleId="byline">
    <w:hidden/>
    <w:pPr>
      <w:spacing w:before="40"/>
    </w:pPr>
    <w:rPr>
      <w:sz w:val="22"/>
      <w:szCs w:val="22"/>
    </w:rPr>
  </w:style>
  <w:style w:type="paragraph" w:styleId="divGen-notes">
    <w:hidden/>
    <w:pPr/>
    <w:rPr>
      <w:sz w:val="32"/>
      <w:szCs w:val="32"/>
    </w:rPr>
  </w:style>
  <w:style w:type="paragraph" w:styleId="docAuthor">
    <w:hidden/>
    <w:pPr/>
    <w:rPr>
      <w:sz w:val="24"/>
      <w:szCs w:val="24"/>
    </w:rPr>
  </w:style>
  <w:style w:type="paragraph" w:styleId="head-default">
    <w:hidden/>
    <w:pPr>
      <w:jc w:val="left"/>
    </w:pPr>
    <w:rPr>
      <w:sz w:val="22"/>
      <w:szCs w:val="22"/>
    </w:rPr>
  </w:style>
  <w:style w:type="paragraph" w:styleId="head-subtitle">
    <w:hidden/>
    <w:pPr/>
    <w:rPr>
      <w:sz w:val="18"/>
      <w:szCs w:val="18"/>
    </w:rPr>
  </w:style>
  <w:style w:type="paragraph" w:styleId="head-main">
    <w:hidden/>
    <w:pPr/>
    <w:rPr>
      <w:sz w:val="20"/>
      <w:szCs w:val="20"/>
    </w:rPr>
  </w:style>
  <w:style w:type="paragraph" w:styleId="titlePart-default">
    <w:hidden/>
    <w:pPr/>
    <w:rPr>
      <w:sz w:val="24"/>
      <w:szCs w:val="24"/>
    </w:rPr>
  </w:style>
  <w:style w:type="paragraph" w:styleId="titlePart-alt">
    <w:hidden/>
    <w:pPr/>
    <w:rPr>
      <w:sz w:val="28"/>
      <w:szCs w:val="28"/>
    </w:rPr>
  </w:style>
  <w:style w:type="paragraph" w:styleId="titlePart-main">
    <w:hidden/>
    <w:pPr/>
    <w:rPr>
      <w:sz w:val="32"/>
      <w:szCs w:val="32"/>
    </w:rPr>
  </w:style>
</w:styles>
</file>

<file path=word/_rels/document.xml.rels><?xml version="1.0" encoding="utf-8"?>
<Relationships xmlns="http://schemas.openxmlformats.org/package/2006/relationships">
   <Relationship Id="rId1"
                 Type="http://schemas.openxmlformats.org/officeDocument/2006/relationships/styles"
                 Target="styles.xml"/>
   <Relationship Id="rId2"
                 Type="http://schemas.openxmlformats.org/officeDocument/2006/relationships/numbering"
                 Target="numbering.xml"/>
   <Relationship Id="rId5"
                 Type="http://schemas.openxmlformats.org/officeDocument/2006/relationships/settings"
                 Target="settings.xml"/>
   <Relationship Id="rId3001"
                 Type="http://schemas.openxmlformats.org/officeDocument/2006/relationships/hyperlink"
                 Target="http://www.bahai.org/library/"
                 TargetMode="External"/>
   <Relationship Id="rId3004"
                 Type="http://schemas.openxmlformats.org/officeDocument/2006/relationships/hyperlink"
                 Target="http://www.bahai.org/legal"
                 TargetMode="External"/>
</Relationships>
</file>