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3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March 1977</w:t>
      </w:r>
    </w:p>
    <w:p>
      <w:pPr>
        <w:keepNext/>
      </w:pPr>
      <w:r/>
    </w:p>
    <w:p>
      <w:pPr>
        <w:keepNext/>
        <w:keepLines/>
      </w:pPr>
      <w:r/>
    </w:p>
    <w:p>
      <w:pPr>
        <w:ind w:firstLine="0"/>
        <w:jc w:val="left"/>
      </w:pPr>
      <w:r>
        <w:rPr/>
        <w:t xml:space="preserve">To all National Spiritual Assemblies</w:t>
      </w:r>
    </w:p>
    <w:p>
      <w:pPr>
        <w:keepNext/>
      </w:pPr>
      <w:r/>
    </w:p>
    <w:bookmarkStart w:id="50016" w:name="muhj19770324_001_en-p1"/>
    <w:p>
      <w:pPr>
        <w:ind w:firstLine="284"/>
        <w:jc w:val="left"/>
      </w:pPr>
      <w:r>
        <w:rPr/>
        <w:t xml:space="preserve">REJOICE OUTSTANDING EVENTS AND ACHIEVEMENTS MARKING MID YEAR FIVE YEAR PLAN: PUBLICATION IN ENGLISH SELECTION WRITINGS BLESSED BÁB OPENING TO EYES WESTERN FOLLOWERS FAITH A PRICELESS TREASURY HIS IMMORTAL UTTERANCES, A BOUNTY WHICH CANNOT FAIL DRAW HEARTS EVER NEARER YOUTHFUL MARTYR-PROPHET; SUCCESSFUL HOLDING EIGHT INTERNATIONAL CONFERENCES, BLAZONING NAME CAUSE GOD BEFORE A RECEPTIVE PUBLIC, KNITTING MORE CLOSELY TIES LINKING FRIENDS ALL LANDS, RESULTING UPSURGE INTENSE ACTIVITY TEACHING PIONEERING, CONFERRING AWARENESS URGENT CHALLENGE PRESENTED BY GOALS PLAN THIS CRITICAL PERIOD; PROFOUNDLY SIGNIFICANT VISIT TO RESTING-PLACE BELOVED GUARDIAN BY FIRST REIGNING MONARCH TO ACCEPT FAITH BAHÁ’U’LLÁH; DEPARTURE FORMER TENANTS HOUSE ‘ABDU’LLÁH PÁ</w:t>
      </w:r>
      <w:r>
        <w:rPr>
          <w:u w:val="single"/>
        </w:rPr>
        <w:t xml:space="preserve">SH</w:t>
      </w:r>
      <w:r>
        <w:rPr/>
        <w:t xml:space="preserve">Á ENABLING FAITH OBTAIN POSSESSION RECENTLY PURCHASED HOLY PLACE INITIATE PROCESS RESTORATION PREPARATION EVENTUAL OPENING TO VISITS BY PILGRIMS; ARRIVAL HAIFA FIRST FOUR CONSIGNMENTS MARBLE AND INITIATION ACTUAL CONSTRUCTION SEAT UNIVERSAL HOUSE JUSTICE MOUNT CARMEL; APPOINTMENT THREE ADDITIONAL COUNSELORS NORTH CENTRAL AMERICA AUSTRALASIA; ATTAINMENT GOAL SETTLEMENT MIDWAY POINT PLAN MAJORITY PIONEERS CALLED FOR DURING FIRST PHASE ACCOMPANIED GREAT OUTFLOW INTERNATIONAL TRAVELING TEACHERS; DRAMATIC RESURGENCE TEACHING WORK CRADLE FAITH BY INDIVIDUAL BELIEVERS UNDER LOCAL PLANS; FINALLY, ELECTION THIS RIḌVÁN SIX NEW PILLARS UNIVERSAL HOUSE JUSTICE, NATIONAL SPIRITUAL ASSEMBLIES OF UPPER VOLTA IN AFRICA, OF THE FRENCH ANTILLES IN THE CARIBBEAN, OF SURINAM AND FRENCH GUIANA IN SOUTH AMERICA, OF THE MARSHALL ISLANDS AND OF THE NEW HEBRIDES IN PACIFIC OCEAN, AND OF GREECE IN EUROPE, RAISING TOTAL NUMBER NATIONAL SPIRITUAL ASSEMBLIES TO 123 TO TAKE PART IN FOURTH ELECTION UNIVERSAL HOUSE OF JUSTICE IN HOLY LAND DURING RIḌVÁN 1978.</w:t>
      </w:r>
    </w:p>
    <w:p>
      <w:pPr>
        <w:keepNext/>
      </w:pPr>
      <w:r/>
    </w:p>
    <w:bookmarkEnd w:id="50016"/>
    <w:bookmarkStart w:id="50022" w:name="muhj19770324_001_en-p2"/>
    <w:p>
      <w:pPr>
        <w:ind w:firstLine="284"/>
        <w:jc w:val="left"/>
      </w:pPr>
      <w:r>
        <w:rPr/>
        <w:t xml:space="preserve">NATIONAL CONVENTIONS IN 1978 WILL BE ON WEEKEND PRECEDING OR FOLLOWING 23 MAY FEAST DECLARATION BÁB. CALL FOR FORMATION AT THAT TIME SIX MORE NATIONAL ASSEMBLIES: BURUNDI AND MAURITANIA IN AFRICA, THE BAHAMAS IN AMERICA, OMAN AND QATAR IN ASIA, AND THE MARIANA ISLANDS IN THE PACIFIC.</w:t>
      </w:r>
    </w:p>
    <w:p>
      <w:pPr>
        <w:keepNext/>
      </w:pPr>
      <w:r/>
    </w:p>
    <w:bookmarkEnd w:id="50022"/>
    <w:bookmarkStart w:id="50025" w:name="muhj19770324_001_en-p3"/>
    <w:p>
      <w:pPr>
        <w:ind w:firstLine="284"/>
        <w:jc w:val="left"/>
      </w:pPr>
      <w:r>
        <w:rPr/>
        <w:t xml:space="preserve">PRESENT RATE GROWTH COMMUNITY PROSPECT ACCELERATION PROCESS ENTRY BY TROOPS ITS SPREAD NEW AREAS IMPEL US STRENGTHEN STILL FURTHER THE AUXILIARY BOARDS WHOSE SERVICES SO VITAL SOUND DEVELOPMENT COMMUNITY. ANNOUNCE AUTHORIZATION INCREASE MEMBERSHIP BOARDS BY 297 RAISING TOTAL TO 675 OF WHICH 279 ARE AUXILIARY BOARD MEMBERS FOR PROTECTION AND 396 FOR PROPAGATION OF FAITH.</w:t>
      </w:r>
    </w:p>
    <w:p>
      <w:pPr>
        <w:keepNext/>
      </w:pPr>
      <w:r/>
    </w:p>
    <w:bookmarkEnd w:id="50025"/>
    <w:bookmarkStart w:id="50028" w:name="muhj19770324_001_en-p4"/>
    <w:p>
      <w:pPr>
        <w:ind w:firstLine="284"/>
        <w:jc w:val="left"/>
      </w:pPr>
      <w:r>
        <w:rPr/>
        <w:t xml:space="preserve">IN EARLY DAYS OF JUNE 1877 BAHÁ’U’LLÁH LEFT CITY ‘AKKÁ AND TOOK UP RESIDENCE IN MAZRA‘IH. TO MARK CENTENARY THIS TERMINATION CONFINEMENT ANCIENT BEAUTY WITHIN WALLS PRISON CITY WE CALL UPON HIS FOLLOWERS ALL LANDS DEVOTE NINETEEN DAY FEAST OF NÚR COMMEMORATION HISTORIC EVENT, REDEDICATING THEMSELVES URGENT TASKS BEFORE THEM, SO THAT PENT-UP ENERGIES HIS PRECIOUS FAITH MAY BE RELEASED TO REACH EVER GREATER NUMBER SEEKING SOULS IN EVER WIDER CIRCLE THEIR FELLOWMEN.</w:t>
      </w:r>
    </w:p>
    <w:p>
      <w:pPr>
        <w:keepNext/>
      </w:pPr>
      <w:r/>
    </w:p>
    <w:bookmarkEnd w:id="50028"/>
    <w:bookmarkStart w:id="50031" w:name="muhj19770324_001_en-p5"/>
    <w:p>
      <w:pPr>
        <w:ind w:firstLine="284"/>
        <w:jc w:val="left"/>
      </w:pPr>
      <w:r>
        <w:rPr/>
        <w:t xml:space="preserve">GREATEST CHALLENGE FACING FOLLOWERS BAHÁ’U’LLÁH LAST TWO YEARS PLAN IS IN FIELDS EXPANSION CONSOLIDATION. TREMENDOUS UPSURGE NEEDED IN SERVICES INDIVIDUAL BELIEVERS ON WHOSE DEEDS ULTIMATELY ALL PROGRESS DEPENDS. MOMENTUM GENERATED BY INTERNATIONAL CONFERENCES MUST BE ACCELERATED WITHOUT DELAY AND SPIRIT RELEASED MUST PERMEATE ALL COMMUNITIES. GREAT INCREASE MUST TAKE PLACE IN ENTHUSIASTIC TEACHING CARRIED OUT WITH CONFIDENCE, IMAGINATION AND PERSEVERANCE BY YOUNG AND OLD, RICH AND POOR, LEARNED AND ILLITERATE, WHETHER AT HOME OR TRAVELING. PARTICULARLY CALL UPON BAHÁ’Í WOMEN, WHOSE CAPACITIES IN MANY LANDS STILL LARGELY UNUSED, AND WHOSE POTENTIAL FOR SERVICE CAUSE SO GREAT, TO ARISE AND DEMONSTRATE IMPORTANCE PART THEY ARE TO PLAY IN ALL FIELDS SERVICE FAITH.</w:t>
      </w:r>
    </w:p>
    <w:p>
      <w:pPr>
        <w:keepNext/>
      </w:pPr>
      <w:r/>
    </w:p>
    <w:bookmarkEnd w:id="50031"/>
    <w:bookmarkStart w:id="50034" w:name="muhj19770324_001_en-p6"/>
    <w:p>
      <w:pPr>
        <w:ind w:firstLine="284"/>
        <w:jc w:val="left"/>
      </w:pPr>
      <w:r>
        <w:rPr/>
        <w:t xml:space="preserve">BOUNTIES IN ABUNDANCE WAITING DESCEND FROM SUPREME CONCOURSE. THAT THE FRIENDS OF GOD WILL NOW SURGE AHEAD WITH RESOLUTE RADIANT SPIRITS IN EVERY CONTINENT ISLANDS OF THE SEAS, TO BRING MESSAGE OF BAHÁ’U’LLÁH TO WAITING SOULS WIN THEIR ALLEGIANCE HIS CAUSE, ENSURING OVERWHELMING VICTORY PLAN TO WHICH THEY ARE NOW COMMITTED, IS OUR HIGH HOPE AND ARDENT PRAYER AT SACRED THRESHOLD.</w:t>
      </w:r>
    </w:p>
    <w:p>
      <w:pPr>
        <w:keepNext/>
      </w:pPr>
      <w:r/>
    </w:p>
    <w:bookmarkEnd w:id="50034"/>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AUXILIARY BOARDS—RIḌVÁN 1977</w:t>
      </w:r>
    </w:p>
    <w:p>
      <w:pPr>
        <w:keepNext/>
      </w:pPr>
      <w:r/>
    </w:p>
    <w:p>
      <w:pPr>
        <w:keepNext/>
        <w:keepLines/>
      </w:pPr>
      <w:r/>
    </w:p>
    <w:tbl>
      <w:tblPr>
        <w:tblW w:w="0" w:type="auto"/>
        <w:tblInd w:w="0" w:type="dxa"/>
        <w:jc w:val="left"/>
      </w:tblP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Former</w:t>
            </w:r>
            <w:r>
              <w:br/>
            </w:r>
            <w:r>
              <w:rPr>
                <w:b/>
                <w:sz w:val="18"/>
                <w:szCs w:val="18"/>
              </w:rPr>
              <w:t xml:space="preserve">Number</w:t>
            </w:r>
          </w:p>
        </w:tc>
        <w:tc>
          <w:tcPr>
            <w:tcW w:w="0" w:type="auto"/>
            <w:vAlign w:val="left"/>
          </w:tcPr>
          <w:p>
            <w:pPr>
              <w:ind w:left="113" w:right="113"/>
              <w:jc w:val="left"/>
            </w:pPr>
            <w:r>
              <w:rPr>
                <w:b/>
                <w:sz w:val="18"/>
                <w:szCs w:val="18"/>
              </w:rPr>
              <w:t xml:space="preserve">Present</w:t>
            </w:r>
            <w:r>
              <w:br/>
            </w:r>
            <w:r>
              <w:rPr>
                <w:b/>
                <w:sz w:val="18"/>
                <w:szCs w:val="18"/>
              </w:rPr>
              <w:t xml:space="preserve">Increase</w:t>
            </w:r>
          </w:p>
        </w:tc>
        <w:tc>
          <w:tcPr>
            <w:tcW w:w="0" w:type="auto"/>
            <w:vAlign w:val="left"/>
          </w:tcPr>
          <w:p>
            <w:pPr>
              <w:ind w:left="113" w:right="113"/>
              <w:jc w:val="left"/>
            </w:pPr>
            <w:r>
              <w:rPr>
                <w:b/>
                <w:sz w:val="18"/>
                <w:szCs w:val="18"/>
              </w:rPr>
              <w:t xml:space="preserve">New</w:t>
            </w:r>
            <w:r>
              <w:br/>
            </w:r>
            <w:r>
              <w:rPr>
                <w:b/>
                <w:sz w:val="18"/>
                <w:szCs w:val="18"/>
              </w:rPr>
              <w:t xml:space="preserve">Total</w:t>
            </w:r>
          </w:p>
        </w:tc>
      </w:tr>
      <w:tr>
        <w:trPr>
          <w:cantSplit/>
        </w:trPr>
        <w:tc>
          <w:tcPr>
            <w:tcW w:w="0" w:type="auto"/>
            <w:vAlign w:val="left"/>
          </w:tcPr>
          <w:p>
            <w:pPr>
              <w:ind w:left="113" w:right="113"/>
              <w:jc w:val="left"/>
            </w:pPr>
            <w:r>
              <w:rPr>
                <w:b/>
                <w:sz w:val="18"/>
                <w:szCs w:val="18"/>
              </w:rPr>
              <w:t xml:space="preserve">Africa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Northern</w:t>
            </w:r>
          </w:p>
        </w:tc>
        <w:tc>
          <w:tcPr>
            <w:tcW w:w="0" w:type="auto"/>
            <w:vAlign w:val="left"/>
          </w:tcPr>
          <w:p>
            <w:pPr>
              <w:ind w:left="113" w:right="113"/>
              <w:jc w:val="left"/>
            </w:pPr>
            <w:r>
              <w:rPr>
                <w:sz w:val="18"/>
                <w:szCs w:val="18"/>
              </w:rPr>
              <w:t xml:space="preserve">5</w:t>
            </w:r>
          </w:p>
        </w:tc>
        <w:tc>
          <w:tcPr>
            <w:tcW w:w="0" w:type="auto"/>
            <w:vAlign w:val="left"/>
          </w:tcPr>
          <w:p>
            <w:pPr>
              <w:ind w:left="113" w:right="113"/>
              <w:jc w:val="left"/>
            </w:pPr>
            <w:r>
              <w:rPr>
                <w:sz w:val="18"/>
                <w:szCs w:val="18"/>
              </w:rPr>
              <w:t xml:space="preserve">-</w:t>
            </w:r>
          </w:p>
        </w:tc>
        <w:tc>
          <w:tcPr>
            <w:tcW w:w="0" w:type="auto"/>
            <w:vAlign w:val="left"/>
          </w:tcPr>
          <w:p>
            <w:pPr>
              <w:ind w:left="113" w:right="113"/>
              <w:jc w:val="left"/>
            </w:pPr>
            <w:r>
              <w:rPr>
                <w:sz w:val="18"/>
                <w:szCs w:val="18"/>
              </w:rPr>
              <w:t xml:space="preserve">5</w:t>
            </w: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11</w:t>
            </w:r>
          </w:p>
        </w:tc>
        <w:tc>
          <w:tcPr>
            <w:tcW w:w="0" w:type="auto"/>
            <w:vAlign w:val="left"/>
          </w:tcPr>
          <w:p>
            <w:pPr>
              <w:ind w:left="113" w:right="113"/>
              <w:jc w:val="left"/>
            </w:pPr>
            <w:r>
              <w:rPr>
                <w:sz w:val="18"/>
                <w:szCs w:val="18"/>
              </w:rPr>
              <w:t xml:space="preserve">13</w:t>
            </w:r>
          </w:p>
        </w:tc>
        <w:tc>
          <w:tcPr>
            <w:tcW w:w="0" w:type="auto"/>
            <w:vAlign w:val="left"/>
          </w:tcPr>
          <w:p>
            <w:pPr>
              <w:ind w:left="113" w:right="113"/>
              <w:jc w:val="left"/>
            </w:pPr>
            <w:r>
              <w:rPr>
                <w:sz w:val="18"/>
                <w:szCs w:val="18"/>
              </w:rPr>
              <w:t xml:space="preserve">24</w:t>
            </w:r>
          </w:p>
        </w:tc>
      </w:tr>
      <w:tr>
        <w:trPr>
          <w:cantSplit/>
        </w:trPr>
        <w:tc>
          <w:tcPr>
            <w:tcW w:w="0" w:type="auto"/>
            <w:vAlign w:val="left"/>
          </w:tcPr>
          <w:p>
            <w:pPr>
              <w:ind w:left="113" w:right="113"/>
              <w:jc w:val="left"/>
            </w:pPr>
            <w:r>
              <w:rPr>
                <w:sz w:val="18"/>
                <w:szCs w:val="18"/>
              </w:rPr>
              <w:t xml:space="preserve">Central and East</w:t>
            </w:r>
          </w:p>
        </w:tc>
        <w:tc>
          <w:tcPr>
            <w:tcW w:w="0" w:type="auto"/>
            <w:vAlign w:val="left"/>
          </w:tcPr>
          <w:p>
            <w:pPr>
              <w:ind w:left="113" w:right="113"/>
              <w:jc w:val="left"/>
            </w:pPr>
            <w:r>
              <w:rPr>
                <w:sz w:val="18"/>
                <w:szCs w:val="18"/>
              </w:rPr>
              <w:t xml:space="preserve">13</w:t>
            </w:r>
          </w:p>
        </w:tc>
        <w:tc>
          <w:tcPr>
            <w:tcW w:w="0" w:type="auto"/>
            <w:vAlign w:val="left"/>
          </w:tcPr>
          <w:p>
            <w:pPr>
              <w:ind w:left="113" w:right="113"/>
              <w:jc w:val="left"/>
            </w:pPr>
            <w:r>
              <w:rPr>
                <w:sz w:val="18"/>
                <w:szCs w:val="18"/>
              </w:rPr>
              <w:t xml:space="preserve">23</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Southern</w:t>
            </w:r>
          </w:p>
        </w:tc>
        <w:tc>
          <w:tcPr>
            <w:tcW w:w="0" w:type="auto"/>
            <w:vAlign w:val="left"/>
          </w:tcPr>
          <w:p>
            <w:pPr>
              <w:ind w:left="113" w:right="113"/>
              <w:jc w:val="left"/>
            </w:pPr>
            <w:r>
              <w:rPr>
                <w:sz w:val="18"/>
                <w:szCs w:val="18"/>
              </w:rPr>
              <w:t xml:space="preserve">7</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16</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81</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Northern</w:t>
            </w:r>
          </w:p>
        </w:tc>
        <w:tc>
          <w:tcPr>
            <w:tcW w:w="0" w:type="auto"/>
            <w:vAlign w:val="left"/>
          </w:tcPr>
          <w:p>
            <w:pPr>
              <w:ind w:left="113" w:right="113"/>
              <w:jc w:val="left"/>
            </w:pPr>
            <w:r>
              <w:rPr>
                <w:sz w:val="18"/>
                <w:szCs w:val="18"/>
              </w:rPr>
              <w:t xml:space="preserve">5</w:t>
            </w:r>
          </w:p>
        </w:tc>
        <w:tc>
          <w:tcPr>
            <w:tcW w:w="0" w:type="auto"/>
            <w:vAlign w:val="left"/>
          </w:tcPr>
          <w:p>
            <w:pPr>
              <w:ind w:left="113" w:right="113"/>
              <w:jc w:val="left"/>
            </w:pPr>
            <w:r>
              <w:rPr>
                <w:sz w:val="18"/>
                <w:szCs w:val="18"/>
              </w:rPr>
              <w:t xml:space="preserve">-</w:t>
            </w:r>
          </w:p>
        </w:tc>
        <w:tc>
          <w:tcPr>
            <w:tcW w:w="0" w:type="auto"/>
            <w:vAlign w:val="left"/>
          </w:tcPr>
          <w:p>
            <w:pPr>
              <w:ind w:left="113" w:right="113"/>
              <w:jc w:val="left"/>
            </w:pPr>
            <w:r>
              <w:rPr>
                <w:sz w:val="18"/>
                <w:szCs w:val="18"/>
              </w:rPr>
              <w:t xml:space="preserve">5</w:t>
            </w: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14</w:t>
            </w:r>
          </w:p>
        </w:tc>
        <w:tc>
          <w:tcPr>
            <w:tcW w:w="0" w:type="auto"/>
            <w:vAlign w:val="left"/>
          </w:tcPr>
          <w:p>
            <w:pPr>
              <w:ind w:left="113" w:right="113"/>
              <w:jc w:val="left"/>
            </w:pPr>
            <w:r>
              <w:rPr>
                <w:sz w:val="18"/>
                <w:szCs w:val="18"/>
              </w:rPr>
              <w:t xml:space="preserve">19</w:t>
            </w:r>
          </w:p>
        </w:tc>
        <w:tc>
          <w:tcPr>
            <w:tcW w:w="0" w:type="auto"/>
            <w:vAlign w:val="left"/>
          </w:tcPr>
          <w:p>
            <w:pPr>
              <w:ind w:left="113" w:right="113"/>
              <w:jc w:val="left"/>
            </w:pPr>
            <w:r>
              <w:rPr>
                <w:sz w:val="18"/>
                <w:szCs w:val="18"/>
              </w:rPr>
              <w:t xml:space="preserve">33</w:t>
            </w:r>
          </w:p>
        </w:tc>
      </w:tr>
      <w:tr>
        <w:trPr>
          <w:cantSplit/>
        </w:trPr>
        <w:tc>
          <w:tcPr>
            <w:tcW w:w="0" w:type="auto"/>
            <w:vAlign w:val="left"/>
          </w:tcPr>
          <w:p>
            <w:pPr>
              <w:ind w:left="113" w:right="113"/>
              <w:jc w:val="left"/>
            </w:pPr>
            <w:r>
              <w:rPr>
                <w:sz w:val="18"/>
                <w:szCs w:val="18"/>
              </w:rPr>
              <w:t xml:space="preserve">Central and East</w:t>
            </w:r>
          </w:p>
        </w:tc>
        <w:tc>
          <w:tcPr>
            <w:tcW w:w="0" w:type="auto"/>
            <w:vAlign w:val="left"/>
          </w:tcPr>
          <w:p>
            <w:pPr>
              <w:ind w:left="113" w:right="113"/>
              <w:jc w:val="left"/>
            </w:pPr>
            <w:r>
              <w:rPr>
                <w:sz w:val="18"/>
                <w:szCs w:val="18"/>
              </w:rPr>
              <w:t xml:space="preserve">19</w:t>
            </w:r>
          </w:p>
        </w:tc>
        <w:tc>
          <w:tcPr>
            <w:tcW w:w="0" w:type="auto"/>
            <w:vAlign w:val="left"/>
          </w:tcPr>
          <w:p>
            <w:pPr>
              <w:ind w:left="113" w:right="113"/>
              <w:jc w:val="left"/>
            </w:pPr>
            <w:r>
              <w:rPr>
                <w:sz w:val="18"/>
                <w:szCs w:val="18"/>
              </w:rPr>
              <w:t xml:space="preserve">17</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Southern</w:t>
            </w:r>
          </w:p>
        </w:tc>
        <w:tc>
          <w:tcPr>
            <w:tcW w:w="0" w:type="auto"/>
            <w:vAlign w:val="left"/>
          </w:tcPr>
          <w:p>
            <w:pPr>
              <w:ind w:left="113" w:right="113"/>
              <w:jc w:val="left"/>
            </w:pPr>
            <w:r>
              <w:rPr>
                <w:sz w:val="18"/>
                <w:szCs w:val="18"/>
              </w:rPr>
              <w:t xml:space="preserve">16</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25</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54</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99</w:t>
            </w:r>
          </w:p>
        </w:tc>
      </w:tr>
      <w:tr>
        <w:trPr>
          <w:cantSplit/>
        </w:trPr>
        <w:tc>
          <w:tcPr>
            <w:tcW w:w="0" w:type="auto"/>
            <w:vAlign w:val="left"/>
          </w:tcPr>
          <w:p>
            <w:pPr>
              <w:ind w:left="113" w:right="113"/>
              <w:jc w:val="left"/>
            </w:pPr>
            <w:r>
              <w:rPr>
                <w:b/>
                <w:sz w:val="18"/>
                <w:szCs w:val="18"/>
              </w:rPr>
              <w:t xml:space="preserve">Western Hemisphere</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 America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Central America</w:t>
            </w:r>
          </w:p>
        </w:tc>
        <w:tc>
          <w:tcPr>
            <w:tcW w:w="0" w:type="auto"/>
            <w:vAlign w:val="left"/>
          </w:tcPr>
          <w:p>
            <w:pPr>
              <w:ind w:left="113" w:right="113"/>
              <w:jc w:val="left"/>
            </w:pPr>
            <w:r>
              <w:rPr>
                <w:sz w:val="18"/>
                <w:szCs w:val="18"/>
              </w:rPr>
              <w:t xml:space="preserve">11</w:t>
            </w:r>
          </w:p>
        </w:tc>
        <w:tc>
          <w:tcPr>
            <w:tcW w:w="0" w:type="auto"/>
            <w:vAlign w:val="left"/>
          </w:tcPr>
          <w:p>
            <w:pPr>
              <w:ind w:left="113" w:right="113"/>
              <w:jc w:val="left"/>
            </w:pPr>
            <w:r>
              <w:rPr>
                <w:sz w:val="18"/>
                <w:szCs w:val="18"/>
              </w:rPr>
              <w:t xml:space="preserve">7</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 America</w:t>
            </w:r>
          </w:p>
        </w:tc>
        <w:tc>
          <w:tcPr>
            <w:tcW w:w="0" w:type="auto"/>
            <w:vAlign w:val="left"/>
          </w:tcPr>
          <w:p>
            <w:pPr>
              <w:ind w:left="113" w:right="113"/>
              <w:jc w:val="left"/>
            </w:pPr>
            <w:r>
              <w:rPr>
                <w:sz w:val="18"/>
                <w:szCs w:val="18"/>
              </w:rPr>
              <w:t xml:space="preserve">16</w:t>
            </w:r>
          </w:p>
        </w:tc>
        <w:tc>
          <w:tcPr>
            <w:tcW w:w="0" w:type="auto"/>
            <w:vAlign w:val="left"/>
          </w:tcPr>
          <w:p>
            <w:pPr>
              <w:ind w:left="113" w:right="113"/>
              <w:jc w:val="left"/>
            </w:pPr>
            <w:r>
              <w:rPr>
                <w:sz w:val="18"/>
                <w:szCs w:val="18"/>
              </w:rPr>
              <w:t xml:space="preserve">2</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54</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 America</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sz w:val="18"/>
                <w:szCs w:val="18"/>
              </w:rPr>
              <w:t xml:space="preserve">Central America</w:t>
            </w:r>
          </w:p>
        </w:tc>
        <w:tc>
          <w:tcPr>
            <w:tcW w:w="0" w:type="auto"/>
            <w:vAlign w:val="left"/>
          </w:tcPr>
          <w:p>
            <w:pPr>
              <w:ind w:left="113" w:right="113"/>
              <w:jc w:val="left"/>
            </w:pPr>
            <w:r>
              <w:rPr>
                <w:sz w:val="18"/>
                <w:szCs w:val="18"/>
              </w:rPr>
              <w:t xml:space="preserve">16</w:t>
            </w:r>
          </w:p>
        </w:tc>
        <w:tc>
          <w:tcPr>
            <w:tcW w:w="0" w:type="auto"/>
            <w:vAlign w:val="left"/>
          </w:tcPr>
          <w:p>
            <w:pPr>
              <w:ind w:left="113" w:right="113"/>
              <w:jc w:val="left"/>
            </w:pPr>
            <w:r>
              <w:rPr>
                <w:sz w:val="18"/>
                <w:szCs w:val="18"/>
              </w:rPr>
              <w:t xml:space="preserve">11</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sz w:val="18"/>
                <w:szCs w:val="18"/>
              </w:rPr>
              <w:t xml:space="preserve">South America</w:t>
            </w:r>
          </w:p>
        </w:tc>
        <w:tc>
          <w:tcPr>
            <w:tcW w:w="0" w:type="auto"/>
            <w:vAlign w:val="left"/>
          </w:tcPr>
          <w:p>
            <w:pPr>
              <w:ind w:left="113" w:right="113"/>
              <w:jc w:val="left"/>
            </w:pPr>
            <w:r>
              <w:rPr>
                <w:sz w:val="18"/>
                <w:szCs w:val="18"/>
              </w:rPr>
              <w:t xml:space="preserve">38</w:t>
            </w:r>
          </w:p>
        </w:tc>
        <w:tc>
          <w:tcPr>
            <w:tcW w:w="0" w:type="auto"/>
            <w:vAlign w:val="left"/>
          </w:tcPr>
          <w:p>
            <w:pPr>
              <w:ind w:left="113" w:right="113"/>
              <w:jc w:val="left"/>
            </w:pPr>
            <w:r>
              <w:rPr>
                <w:sz w:val="18"/>
                <w:szCs w:val="18"/>
              </w:rPr>
              <w:t xml:space="preserve">25</w:t>
            </w:r>
          </w:p>
        </w:tc>
        <w:tc>
          <w:tcPr>
            <w:tcW w:w="0" w:type="auto"/>
            <w:vAlign w:val="left"/>
          </w:tcPr>
          <w:p>
            <w:pPr>
              <w:ind w:left="113" w:right="113"/>
              <w:jc w:val="left"/>
            </w:pPr>
            <w:r>
              <w:rPr>
                <w:sz w:val="18"/>
                <w:szCs w:val="18"/>
              </w:rPr>
              <w:t xml:space="preserve">63</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72</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117</w:t>
            </w:r>
          </w:p>
        </w:tc>
      </w:tr>
      <w:tr>
        <w:trPr>
          <w:cantSplit/>
        </w:trPr>
        <w:tc>
          <w:tcPr>
            <w:tcW w:w="0" w:type="auto"/>
            <w:vAlign w:val="left"/>
          </w:tcPr>
          <w:p>
            <w:pPr>
              <w:ind w:left="113" w:right="113"/>
              <w:jc w:val="left"/>
            </w:pPr>
            <w:r>
              <w:rPr>
                <w:b/>
                <w:sz w:val="18"/>
                <w:szCs w:val="18"/>
              </w:rPr>
              <w:t xml:space="preserve">Asia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 Central</w:t>
            </w:r>
          </w:p>
        </w:tc>
        <w:tc>
          <w:tcPr>
            <w:tcW w:w="0" w:type="auto"/>
            <w:vAlign w:val="left"/>
          </w:tcPr>
          <w:p>
            <w:pPr>
              <w:ind w:left="113" w:right="113"/>
              <w:jc w:val="left"/>
            </w:pPr>
            <w:r>
              <w:rPr>
                <w:sz w:val="18"/>
                <w:szCs w:val="18"/>
              </w:rPr>
              <w:t xml:space="preserve">6</w:t>
            </w:r>
          </w:p>
        </w:tc>
        <w:tc>
          <w:tcPr>
            <w:tcW w:w="0" w:type="auto"/>
            <w:vAlign w:val="left"/>
          </w:tcPr>
          <w:p>
            <w:pPr>
              <w:ind w:left="113" w:right="113"/>
              <w:jc w:val="left"/>
            </w:pPr>
            <w:r>
              <w:rPr>
                <w:sz w:val="18"/>
                <w:szCs w:val="18"/>
              </w:rPr>
              <w:t xml:space="preserve">30</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Northeastern</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15</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Southeastern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99</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South Central</w:t>
            </w:r>
          </w:p>
        </w:tc>
        <w:tc>
          <w:tcPr>
            <w:tcW w:w="0" w:type="auto"/>
            <w:vAlign w:val="left"/>
          </w:tcPr>
          <w:p>
            <w:pPr>
              <w:ind w:left="113" w:right="113"/>
              <w:jc w:val="left"/>
            </w:pPr>
            <w:r>
              <w:rPr>
                <w:sz w:val="18"/>
                <w:szCs w:val="18"/>
              </w:rPr>
              <w:t xml:space="preserve">30</w:t>
            </w:r>
          </w:p>
        </w:tc>
        <w:tc>
          <w:tcPr>
            <w:tcW w:w="0" w:type="auto"/>
            <w:vAlign w:val="left"/>
          </w:tcPr>
          <w:p>
            <w:pPr>
              <w:ind w:left="113" w:right="113"/>
              <w:jc w:val="left"/>
            </w:pPr>
            <w:r>
              <w:rPr>
                <w:sz w:val="18"/>
                <w:szCs w:val="18"/>
              </w:rPr>
              <w:t xml:space="preserve">6</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Northeastern</w:t>
            </w:r>
          </w:p>
        </w:tc>
        <w:tc>
          <w:tcPr>
            <w:tcW w:w="0" w:type="auto"/>
            <w:vAlign w:val="left"/>
          </w:tcPr>
          <w:p>
            <w:pPr>
              <w:ind w:left="113" w:right="113"/>
              <w:jc w:val="left"/>
            </w:pPr>
            <w:r>
              <w:rPr>
                <w:sz w:val="18"/>
                <w:szCs w:val="18"/>
              </w:rPr>
              <w:t xml:space="preserve">15</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Southeastern</w:t>
            </w: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r>
              <w:rPr>
                <w:sz w:val="18"/>
                <w:szCs w:val="18"/>
              </w:rPr>
              <w:t xml:space="preserve">-</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90</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117</w:t>
            </w:r>
          </w:p>
        </w:tc>
      </w:tr>
      <w:tr>
        <w:trPr>
          <w:cantSplit/>
        </w:trPr>
        <w:tc>
          <w:tcPr>
            <w:tcW w:w="0" w:type="auto"/>
            <w:vAlign w:val="left"/>
          </w:tcPr>
          <w:p>
            <w:pPr>
              <w:ind w:left="113" w:right="113"/>
              <w:jc w:val="left"/>
            </w:pPr>
            <w:r>
              <w:rPr>
                <w:b/>
                <w:sz w:val="18"/>
                <w:szCs w:val="18"/>
              </w:rPr>
              <w:t xml:space="preserve">Australasia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b/>
                <w:sz w:val="18"/>
                <w:szCs w:val="18"/>
              </w:rPr>
              <w:t xml:space="preserve">Europe</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b/>
              </w:rPr>
              <w:t xml:space="preserve">TOTAL</w:t>
            </w:r>
          </w:p>
        </w:tc>
        <w:tc>
          <w:tcPr>
            <w:tcW w:w="0" w:type="auto"/>
            <w:vAlign w:val="left"/>
          </w:tcPr>
          <w:p>
            <w:pPr>
              <w:ind w:left="113" w:right="113"/>
              <w:jc w:val="left"/>
            </w:pPr>
            <w:r>
              <w:rPr>
                <w:b/>
                <w:sz w:val="18"/>
                <w:szCs w:val="18"/>
              </w:rPr>
              <w:t xml:space="preserve">378</w:t>
            </w:r>
          </w:p>
        </w:tc>
        <w:tc>
          <w:tcPr>
            <w:tcW w:w="0" w:type="auto"/>
            <w:vAlign w:val="left"/>
          </w:tcPr>
          <w:p>
            <w:pPr>
              <w:ind w:left="113" w:right="113"/>
              <w:jc w:val="left"/>
            </w:pPr>
            <w:r>
              <w:rPr>
                <w:b/>
                <w:sz w:val="18"/>
                <w:szCs w:val="18"/>
              </w:rPr>
              <w:t xml:space="preserve">297</w:t>
            </w:r>
          </w:p>
        </w:tc>
        <w:tc>
          <w:tcPr>
            <w:tcW w:w="0" w:type="auto"/>
            <w:vAlign w:val="left"/>
          </w:tcPr>
          <w:p>
            <w:pPr>
              <w:ind w:left="113" w:right="113"/>
              <w:jc w:val="left"/>
            </w:pPr>
            <w:r>
              <w:rPr>
                <w:b/>
                <w:sz w:val="18"/>
                <w:szCs w:val="18"/>
              </w:rPr>
              <w:t xml:space="preserve">675</w:t>
            </w:r>
          </w:p>
        </w:tc>
      </w:tr>
      <w:tr>
        <w:trPr>
          <w:cantSplit/>
        </w:trPr>
        <w:tc>
          <w:tcPr>
            <w:tcW w:w="0" w:type="auto"/>
            <w:vAlign w:val="left"/>
          </w:tcPr>
          <w:p>
            <w:pPr>
              <w:ind w:left="113" w:right="113"/>
              <w:jc w:val="left"/>
            </w:pPr>
            <w:r>
              <w:rPr>
                <w:b/>
                <w:sz w:val="18"/>
                <w:szCs w:val="18"/>
              </w:rPr>
              <w:t xml:space="preserve">Total Protection</w:t>
            </w:r>
          </w:p>
        </w:tc>
        <w:tc>
          <w:tcPr>
            <w:tcW w:w="0" w:type="auto"/>
            <w:vAlign w:val="left"/>
          </w:tcPr>
          <w:p>
            <w:pPr>
              <w:ind w:left="113" w:right="113"/>
              <w:jc w:val="left"/>
            </w:pPr>
            <w:r>
              <w:rPr>
                <w:b/>
                <w:sz w:val="18"/>
                <w:szCs w:val="18"/>
              </w:rPr>
              <w:t xml:space="preserve">117</w:t>
            </w:r>
          </w:p>
        </w:tc>
        <w:tc>
          <w:tcPr>
            <w:tcW w:w="0" w:type="auto"/>
            <w:vAlign w:val="left"/>
          </w:tcPr>
          <w:p>
            <w:pPr>
              <w:ind w:left="113" w:right="113"/>
              <w:jc w:val="left"/>
            </w:pPr>
            <w:r>
              <w:rPr>
                <w:b/>
                <w:sz w:val="18"/>
                <w:szCs w:val="18"/>
              </w:rPr>
              <w:t xml:space="preserve">162</w:t>
            </w:r>
          </w:p>
        </w:tc>
        <w:tc>
          <w:tcPr>
            <w:tcW w:w="0" w:type="auto"/>
            <w:vAlign w:val="left"/>
          </w:tcPr>
          <w:p>
            <w:pPr>
              <w:ind w:left="113" w:right="113"/>
              <w:jc w:val="left"/>
            </w:pPr>
            <w:r>
              <w:rPr>
                <w:b/>
                <w:sz w:val="18"/>
                <w:szCs w:val="18"/>
              </w:rPr>
              <w:t xml:space="preserve">279</w:t>
            </w:r>
          </w:p>
        </w:tc>
      </w:tr>
      <w:tr>
        <w:trPr>
          <w:cantSplit/>
        </w:trPr>
        <w:tc>
          <w:tcPr>
            <w:tcW w:w="0" w:type="auto"/>
            <w:vAlign w:val="left"/>
          </w:tcPr>
          <w:p>
            <w:pPr>
              <w:ind w:left="113" w:right="113"/>
              <w:jc w:val="left"/>
            </w:pPr>
            <w:r>
              <w:rPr>
                <w:b/>
                <w:sz w:val="18"/>
                <w:szCs w:val="18"/>
              </w:rPr>
              <w:t xml:space="preserve">Total Propagation</w:t>
            </w:r>
          </w:p>
        </w:tc>
        <w:tc>
          <w:tcPr>
            <w:tcW w:w="0" w:type="auto"/>
            <w:vAlign w:val="left"/>
          </w:tcPr>
          <w:p>
            <w:pPr>
              <w:ind w:left="113" w:right="113"/>
              <w:jc w:val="left"/>
            </w:pPr>
            <w:r>
              <w:rPr>
                <w:b/>
                <w:sz w:val="18"/>
                <w:szCs w:val="18"/>
              </w:rPr>
              <w:t xml:space="preserve">261</w:t>
            </w:r>
          </w:p>
        </w:tc>
        <w:tc>
          <w:tcPr>
            <w:tcW w:w="0" w:type="auto"/>
            <w:vAlign w:val="left"/>
          </w:tcPr>
          <w:p>
            <w:pPr>
              <w:ind w:left="113" w:right="113"/>
              <w:jc w:val="left"/>
            </w:pPr>
            <w:r>
              <w:rPr>
                <w:b/>
                <w:sz w:val="18"/>
                <w:szCs w:val="18"/>
              </w:rPr>
              <w:t xml:space="preserve">135</w:t>
            </w:r>
          </w:p>
        </w:tc>
        <w:tc>
          <w:tcPr>
            <w:tcW w:w="0" w:type="auto"/>
            <w:vAlign w:val="left"/>
          </w:tcPr>
          <w:p>
            <w:pPr>
              <w:ind w:left="113" w:right="113"/>
              <w:jc w:val="left"/>
            </w:pPr>
            <w:r>
              <w:rPr>
                <w:b/>
                <w:sz w:val="18"/>
                <w:szCs w:val="18"/>
              </w:rPr>
              <w:t xml:space="preserve">396</w:t>
            </w:r>
          </w:p>
        </w:tc>
      </w:tr>
    </w:tbl>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