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D095" w14:textId="62E2F722" w:rsidR="004650A9" w:rsidRDefault="004650A9" w:rsidP="00AE10D8">
      <w:pPr>
        <w:spacing w:line="252" w:lineRule="auto"/>
        <w:jc w:val="center"/>
        <w:rPr>
          <w:sz w:val="23"/>
          <w:szCs w:val="23"/>
        </w:rPr>
      </w:pPr>
      <w:r w:rsidRPr="00751DA9">
        <w:rPr>
          <w:sz w:val="23"/>
          <w:szCs w:val="23"/>
        </w:rPr>
        <w:t>He is God.</w:t>
      </w:r>
    </w:p>
    <w:p w14:paraId="66FDB6E3" w14:textId="77777777" w:rsidR="004650A9" w:rsidRDefault="004650A9" w:rsidP="004502EA">
      <w:pPr>
        <w:spacing w:line="252" w:lineRule="auto"/>
        <w:rPr>
          <w:sz w:val="23"/>
          <w:szCs w:val="23"/>
        </w:rPr>
      </w:pPr>
    </w:p>
    <w:p w14:paraId="2E5E0107" w14:textId="77777777" w:rsidR="004650A9" w:rsidRPr="00751DA9" w:rsidRDefault="004650A9" w:rsidP="004502EA">
      <w:pPr>
        <w:spacing w:line="252" w:lineRule="auto"/>
        <w:rPr>
          <w:sz w:val="23"/>
          <w:szCs w:val="23"/>
        </w:rPr>
      </w:pPr>
      <w:r w:rsidRPr="00751DA9">
        <w:rPr>
          <w:sz w:val="23"/>
          <w:szCs w:val="23"/>
        </w:rPr>
        <w:t>To the pilgrim Áqá Siyyid Yúsuf, upon him rest the glory of God, the All-Glorious.</w:t>
      </w:r>
    </w:p>
    <w:p w14:paraId="675A25DC" w14:textId="77777777" w:rsidR="004650A9" w:rsidRPr="00751DA9" w:rsidRDefault="004650A9" w:rsidP="004502EA">
      <w:pPr>
        <w:spacing w:line="252" w:lineRule="auto"/>
        <w:rPr>
          <w:sz w:val="23"/>
          <w:szCs w:val="23"/>
        </w:rPr>
      </w:pPr>
    </w:p>
    <w:p w14:paraId="086B4B3B" w14:textId="320E1FB3" w:rsidR="004650A9" w:rsidRPr="00751DA9" w:rsidRDefault="004650A9" w:rsidP="004502EA">
      <w:pPr>
        <w:spacing w:line="252" w:lineRule="auto"/>
        <w:jc w:val="center"/>
        <w:rPr>
          <w:sz w:val="23"/>
          <w:szCs w:val="23"/>
        </w:rPr>
      </w:pPr>
      <w:r w:rsidRPr="00751DA9">
        <w:rPr>
          <w:sz w:val="23"/>
          <w:szCs w:val="23"/>
        </w:rPr>
        <w:t>He is God.</w:t>
      </w:r>
    </w:p>
    <w:p w14:paraId="1731D5E7" w14:textId="77777777" w:rsidR="004650A9" w:rsidRPr="00751DA9" w:rsidRDefault="004650A9" w:rsidP="004502EA">
      <w:pPr>
        <w:spacing w:line="252" w:lineRule="auto"/>
        <w:rPr>
          <w:sz w:val="23"/>
          <w:szCs w:val="23"/>
        </w:rPr>
      </w:pPr>
    </w:p>
    <w:p w14:paraId="6DE7AC9F" w14:textId="37417C23" w:rsidR="004650A9" w:rsidRPr="00751DA9" w:rsidRDefault="004650A9" w:rsidP="004502EA">
      <w:pPr>
        <w:spacing w:line="252" w:lineRule="auto"/>
        <w:rPr>
          <w:sz w:val="23"/>
          <w:szCs w:val="23"/>
        </w:rPr>
      </w:pPr>
      <w:r w:rsidRPr="00751DA9">
        <w:rPr>
          <w:sz w:val="23"/>
          <w:szCs w:val="23"/>
        </w:rPr>
        <w:t>O thou who circlest round the Point of Adoration of all</w:t>
      </w:r>
      <w:r>
        <w:rPr>
          <w:sz w:val="23"/>
          <w:szCs w:val="23"/>
        </w:rPr>
        <w:t xml:space="preserve"> that dwell on earth</w:t>
      </w:r>
      <w:r w:rsidRPr="00751DA9">
        <w:rPr>
          <w:sz w:val="23"/>
          <w:szCs w:val="23"/>
        </w:rPr>
        <w:t>! Though thou hast endured the toils of travel and traverse</w:t>
      </w:r>
      <w:r>
        <w:rPr>
          <w:sz w:val="23"/>
          <w:szCs w:val="23"/>
        </w:rPr>
        <w:t>d</w:t>
      </w:r>
      <w:r w:rsidRPr="00751DA9">
        <w:rPr>
          <w:sz w:val="23"/>
          <w:szCs w:val="23"/>
        </w:rPr>
        <w:t xml:space="preserve"> both land and sea, yet praise be unto the Ever-Abiding, the Ancient of Days, for </w:t>
      </w:r>
      <w:r>
        <w:rPr>
          <w:sz w:val="23"/>
          <w:szCs w:val="23"/>
        </w:rPr>
        <w:t xml:space="preserve">thou hast reached a </w:t>
      </w:r>
      <w:r w:rsidRPr="00751DA9">
        <w:rPr>
          <w:sz w:val="23"/>
          <w:szCs w:val="23"/>
        </w:rPr>
        <w:t xml:space="preserve">destination </w:t>
      </w:r>
      <w:r>
        <w:rPr>
          <w:sz w:val="23"/>
          <w:szCs w:val="23"/>
        </w:rPr>
        <w:t xml:space="preserve">that </w:t>
      </w:r>
      <w:r w:rsidRPr="00751DA9">
        <w:rPr>
          <w:sz w:val="23"/>
          <w:szCs w:val="23"/>
        </w:rPr>
        <w:t>is the utmost desire of those who worship God. It is the focal</w:t>
      </w:r>
      <w:r>
        <w:rPr>
          <w:sz w:val="23"/>
          <w:szCs w:val="23"/>
        </w:rPr>
        <w:t xml:space="preserve"> </w:t>
      </w:r>
      <w:r w:rsidRPr="00751DA9">
        <w:rPr>
          <w:sz w:val="23"/>
          <w:szCs w:val="23"/>
        </w:rPr>
        <w:t xml:space="preserve">point of prayer and the seat of glory. It is the </w:t>
      </w:r>
      <w:r>
        <w:rPr>
          <w:sz w:val="23"/>
          <w:szCs w:val="23"/>
        </w:rPr>
        <w:t>s</w:t>
      </w:r>
      <w:r w:rsidRPr="00751DA9">
        <w:rPr>
          <w:sz w:val="23"/>
          <w:szCs w:val="23"/>
        </w:rPr>
        <w:t>now-white Spot, the holy vale of Towa</w:t>
      </w:r>
      <w:r>
        <w:rPr>
          <w:sz w:val="23"/>
          <w:szCs w:val="23"/>
        </w:rPr>
        <w:t>,</w:t>
      </w:r>
      <w:r w:rsidRPr="00751DA9">
        <w:rPr>
          <w:sz w:val="23"/>
          <w:szCs w:val="23"/>
        </w:rPr>
        <w:t xml:space="preserve"> and </w:t>
      </w:r>
      <w:r>
        <w:rPr>
          <w:sz w:val="23"/>
          <w:szCs w:val="23"/>
        </w:rPr>
        <w:t>Mount</w:t>
      </w:r>
      <w:r w:rsidRPr="00751DA9">
        <w:rPr>
          <w:sz w:val="23"/>
          <w:szCs w:val="23"/>
        </w:rPr>
        <w:t xml:space="preserve"> Sinai. It is the Holy Land and the luminous </w:t>
      </w:r>
      <w:r w:rsidRPr="00601659">
        <w:rPr>
          <w:sz w:val="23"/>
          <w:szCs w:val="23"/>
        </w:rPr>
        <w:t>wilderness. It is the Spot round which circumambulate the saints. And it is the object of the invocation “Holy, holy, the Lord our God, the Lord of the angels and the spirit!</w:t>
      </w:r>
      <w:r w:rsidRPr="00751DA9">
        <w:rPr>
          <w:sz w:val="23"/>
          <w:szCs w:val="23"/>
        </w:rPr>
        <w:t>”</w:t>
      </w:r>
      <w:r w:rsidRPr="00751DA9">
        <w:rPr>
          <w:rStyle w:val="FootnoteReference"/>
          <w:sz w:val="23"/>
          <w:szCs w:val="23"/>
        </w:rPr>
        <w:footnoteReference w:id="2"/>
      </w:r>
      <w:r w:rsidRPr="00751DA9">
        <w:rPr>
          <w:sz w:val="23"/>
          <w:szCs w:val="23"/>
        </w:rPr>
        <w:t xml:space="preserve"> Wherefore,</w:t>
      </w:r>
      <w:r>
        <w:rPr>
          <w:sz w:val="23"/>
          <w:szCs w:val="23"/>
        </w:rPr>
        <w:t xml:space="preserve"> as a thank-offering </w:t>
      </w:r>
      <w:r w:rsidRPr="00751DA9">
        <w:rPr>
          <w:sz w:val="23"/>
          <w:szCs w:val="23"/>
        </w:rPr>
        <w:t xml:space="preserve">for these inexhaustible blessings, </w:t>
      </w:r>
      <w:r>
        <w:rPr>
          <w:sz w:val="23"/>
          <w:szCs w:val="23"/>
        </w:rPr>
        <w:t>lift up</w:t>
      </w:r>
      <w:r w:rsidRPr="00751DA9">
        <w:rPr>
          <w:sz w:val="23"/>
          <w:szCs w:val="23"/>
        </w:rPr>
        <w:t xml:space="preserve"> thy hands and recite thou this prayer with devotion and fervour:</w:t>
      </w:r>
    </w:p>
    <w:p w14:paraId="16A155AC" w14:textId="500C6D35" w:rsidR="004650A9" w:rsidRPr="00751DA9" w:rsidRDefault="004650A9" w:rsidP="004502EA">
      <w:pPr>
        <w:spacing w:line="252" w:lineRule="auto"/>
        <w:ind w:firstLine="720"/>
        <w:rPr>
          <w:sz w:val="23"/>
          <w:szCs w:val="23"/>
        </w:rPr>
      </w:pPr>
      <w:r w:rsidRPr="00751DA9">
        <w:rPr>
          <w:sz w:val="23"/>
          <w:szCs w:val="23"/>
        </w:rPr>
        <w:t xml:space="preserve">“O Thou who art the </w:t>
      </w:r>
      <w:r>
        <w:rPr>
          <w:sz w:val="23"/>
          <w:szCs w:val="23"/>
        </w:rPr>
        <w:t>a</w:t>
      </w:r>
      <w:r w:rsidRPr="00751DA9">
        <w:rPr>
          <w:sz w:val="23"/>
          <w:szCs w:val="23"/>
        </w:rPr>
        <w:t>nswerer of the cries of the needy! O Thou kind Lord! What merit did I possess, that Thou didst bestow upon me so priceless a gift and vouchsafe unto me so excellent a favo</w:t>
      </w:r>
      <w:r>
        <w:rPr>
          <w:sz w:val="23"/>
          <w:szCs w:val="23"/>
        </w:rPr>
        <w:t>u</w:t>
      </w:r>
      <w:r w:rsidRPr="00751DA9">
        <w:rPr>
          <w:sz w:val="23"/>
          <w:szCs w:val="23"/>
        </w:rPr>
        <w:t>r? Thou hast conferred upon me the privilege of kissing Thy sacred Threshold. O</w:t>
      </w:r>
      <w:r>
        <w:rPr>
          <w:sz w:val="23"/>
          <w:szCs w:val="23"/>
        </w:rPr>
        <w:t>h</w:t>
      </w:r>
      <w:r w:rsidRPr="00751DA9">
        <w:rPr>
          <w:sz w:val="23"/>
          <w:szCs w:val="23"/>
        </w:rPr>
        <w:t>, what a Threshold! For the souls of the Concourse on high are its watchmen, and the hearts of the denizens of the Abhá Kingdom stand, kneel</w:t>
      </w:r>
      <w:r>
        <w:rPr>
          <w:sz w:val="23"/>
          <w:szCs w:val="23"/>
        </w:rPr>
        <w:t>,</w:t>
      </w:r>
      <w:r w:rsidRPr="00751DA9">
        <w:rPr>
          <w:sz w:val="23"/>
          <w:szCs w:val="23"/>
        </w:rPr>
        <w:t xml:space="preserve"> and prostrate themselves before it, lowly and submissive, like unto </w:t>
      </w:r>
      <w:r>
        <w:rPr>
          <w:sz w:val="23"/>
          <w:szCs w:val="23"/>
        </w:rPr>
        <w:t>righteous believers</w:t>
      </w:r>
      <w:r w:rsidRPr="00751DA9">
        <w:rPr>
          <w:sz w:val="23"/>
          <w:szCs w:val="23"/>
        </w:rPr>
        <w:t>.”</w:t>
      </w:r>
    </w:p>
    <w:p w14:paraId="2129E5D1" w14:textId="16AFD37A" w:rsidR="000A4B6F" w:rsidRDefault="004650A9" w:rsidP="009F28FB">
      <w:pPr>
        <w:spacing w:line="252" w:lineRule="auto"/>
        <w:ind w:firstLine="720"/>
        <w:rPr>
          <w:sz w:val="23"/>
          <w:szCs w:val="23"/>
        </w:rPr>
      </w:pPr>
      <w:r w:rsidRPr="00751DA9">
        <w:rPr>
          <w:sz w:val="23"/>
          <w:szCs w:val="23"/>
        </w:rPr>
        <w:t>Thou wert engaged for some time in rendering outstanding services in that</w:t>
      </w:r>
      <w:r>
        <w:rPr>
          <w:sz w:val="23"/>
          <w:szCs w:val="23"/>
        </w:rPr>
        <w:t xml:space="preserve"> most</w:t>
      </w:r>
      <w:r w:rsidRPr="00751DA9">
        <w:rPr>
          <w:sz w:val="23"/>
          <w:szCs w:val="23"/>
        </w:rPr>
        <w:t xml:space="preserve"> </w:t>
      </w:r>
      <w:r>
        <w:rPr>
          <w:sz w:val="23"/>
          <w:szCs w:val="23"/>
        </w:rPr>
        <w:t>glorious</w:t>
      </w:r>
      <w:r w:rsidRPr="00751DA9">
        <w:rPr>
          <w:sz w:val="23"/>
          <w:szCs w:val="23"/>
        </w:rPr>
        <w:t xml:space="preserve"> </w:t>
      </w:r>
      <w:r>
        <w:rPr>
          <w:sz w:val="23"/>
          <w:szCs w:val="23"/>
        </w:rPr>
        <w:t>spot</w:t>
      </w:r>
      <w:r>
        <w:rPr>
          <w:rStyle w:val="FootnoteReference"/>
          <w:sz w:val="23"/>
          <w:szCs w:val="23"/>
        </w:rPr>
        <w:footnoteReference w:id="3"/>
      </w:r>
      <w:r w:rsidRPr="00751DA9">
        <w:rPr>
          <w:sz w:val="23"/>
          <w:szCs w:val="23"/>
        </w:rPr>
        <w:t xml:space="preserve"> and wert responsible for essential tasks. Thy services were praiseworthy and thine efforts pleasing. Return, now, to that land, and </w:t>
      </w:r>
      <w:r>
        <w:rPr>
          <w:sz w:val="23"/>
          <w:szCs w:val="23"/>
        </w:rPr>
        <w:t>resume</w:t>
      </w:r>
      <w:r w:rsidRPr="00751DA9">
        <w:rPr>
          <w:sz w:val="23"/>
          <w:szCs w:val="23"/>
        </w:rPr>
        <w:t xml:space="preserve"> thy former services. It is hoped that, through the bounties of the All-Glorious Lord, thou wilt achieve even greater success than before, wilt cheer all the friends through distinguished services, and wilt, at all times, arise as an obedient servant to render service to the loved ones of God</w:t>
      </w:r>
      <w:r>
        <w:rPr>
          <w:sz w:val="23"/>
          <w:szCs w:val="23"/>
        </w:rPr>
        <w:t>, for</w:t>
      </w:r>
      <w:r w:rsidRPr="00751DA9">
        <w:rPr>
          <w:sz w:val="23"/>
          <w:szCs w:val="23"/>
        </w:rPr>
        <w:t xml:space="preserve"> service to the loved ones of God is service to God. Glory be upon all who stand firm in the Covenant of God.</w:t>
      </w:r>
    </w:p>
    <w:p w14:paraId="7250A80A" w14:textId="1B4B74BB" w:rsidR="008C3D22" w:rsidRDefault="008C3D22">
      <w:pPr>
        <w:spacing w:after="200" w:line="276" w:lineRule="auto"/>
        <w:rPr>
          <w:sz w:val="23"/>
          <w:szCs w:val="23"/>
        </w:rPr>
      </w:pPr>
      <w:r>
        <w:rPr>
          <w:sz w:val="23"/>
          <w:szCs w:val="23"/>
        </w:rPr>
        <w:br w:type="page"/>
      </w:r>
    </w:p>
    <w:p w14:paraId="653443BB" w14:textId="77777777" w:rsidR="004D41E8" w:rsidRPr="004D41E8" w:rsidRDefault="004D41E8" w:rsidP="004D41E8">
      <w:pPr>
        <w:keepNext/>
        <w:pBdr>
          <w:bottom w:val="single" w:sz="6" w:space="1" w:color="auto"/>
        </w:pBdr>
        <w:spacing w:before="300" w:after="40"/>
        <w:rPr>
          <w:sz w:val="12"/>
          <w:szCs w:val="12"/>
        </w:rPr>
      </w:pPr>
      <w:bookmarkStart w:id="0" w:name="_Hlk115946926"/>
    </w:p>
    <w:p w14:paraId="2117398C" w14:textId="77777777" w:rsidR="004D41E8" w:rsidRPr="004D41E8" w:rsidRDefault="004D41E8" w:rsidP="004D41E8">
      <w:pPr>
        <w:rPr>
          <w:sz w:val="12"/>
          <w:szCs w:val="12"/>
        </w:rPr>
      </w:pPr>
      <w:r w:rsidRPr="004D41E8">
        <w:rPr>
          <w:sz w:val="12"/>
          <w:szCs w:val="12"/>
        </w:rPr>
        <w:t xml:space="preserve">This document has been downloaded from the </w:t>
      </w:r>
      <w:hyperlink w:history="1">
        <w:r w:rsidRPr="004D41E8">
          <w:rPr>
            <w:rStyle w:val="Hyperlink"/>
            <w:color w:val="auto"/>
            <w:sz w:val="12"/>
            <w:szCs w:val="12"/>
          </w:rPr>
          <w:t>Bahá’í Reference Library</w:t>
        </w:r>
      </w:hyperlink>
      <w:r w:rsidRPr="004D41E8">
        <w:rPr>
          <w:sz w:val="12"/>
          <w:szCs w:val="12"/>
        </w:rPr>
        <w:t xml:space="preserve">.  You are free to use its content subject to the terms of use found at </w:t>
      </w:r>
      <w:hyperlink r:id="rId6" w:history="1">
        <w:r w:rsidRPr="004D41E8">
          <w:rPr>
            <w:rStyle w:val="Hyperlink"/>
            <w:color w:val="auto"/>
            <w:sz w:val="12"/>
            <w:szCs w:val="12"/>
          </w:rPr>
          <w:t>www.bahai.org/legal</w:t>
        </w:r>
      </w:hyperlink>
      <w:bookmarkStart w:id="1" w:name="copyright-terms-use"/>
      <w:bookmarkEnd w:id="1"/>
    </w:p>
    <w:p w14:paraId="538C3127" w14:textId="5DBA3AAE" w:rsidR="004D41E8" w:rsidRPr="004D41E8" w:rsidRDefault="004D41E8" w:rsidP="004D41E8">
      <w:pPr>
        <w:rPr>
          <w:sz w:val="12"/>
          <w:szCs w:val="12"/>
        </w:rPr>
      </w:pPr>
      <w:r w:rsidRPr="004D41E8">
        <w:rPr>
          <w:sz w:val="12"/>
          <w:szCs w:val="12"/>
        </w:rPr>
        <w:br/>
        <w:t>Last Modified: 23 December 2022  10:00 a.m. (GMT)</w:t>
      </w:r>
      <w:bookmarkEnd w:id="0"/>
    </w:p>
    <w:sectPr w:rsidR="004D41E8" w:rsidRPr="004D41E8" w:rsidSect="00B7016E">
      <w:headerReference w:type="default" r:id="rId7"/>
      <w:foot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0455" w14:textId="77777777" w:rsidR="00587B2F" w:rsidRDefault="00587B2F" w:rsidP="004650A9">
      <w:r>
        <w:separator/>
      </w:r>
    </w:p>
  </w:endnote>
  <w:endnote w:type="continuationSeparator" w:id="0">
    <w:p w14:paraId="134E3967" w14:textId="77777777" w:rsidR="00587B2F" w:rsidRDefault="00587B2F" w:rsidP="004650A9">
      <w:r>
        <w:continuationSeparator/>
      </w:r>
    </w:p>
  </w:endnote>
  <w:endnote w:type="continuationNotice" w:id="1">
    <w:p w14:paraId="122C8FC5" w14:textId="77777777" w:rsidR="00587B2F" w:rsidRDefault="00587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00FF" w14:textId="77777777" w:rsidR="00FE6472" w:rsidRDefault="00FE6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627C" w14:textId="77777777" w:rsidR="00587B2F" w:rsidRDefault="00587B2F" w:rsidP="004650A9">
      <w:r>
        <w:separator/>
      </w:r>
    </w:p>
  </w:footnote>
  <w:footnote w:type="continuationSeparator" w:id="0">
    <w:p w14:paraId="21D76205" w14:textId="77777777" w:rsidR="00587B2F" w:rsidRDefault="00587B2F" w:rsidP="004650A9">
      <w:r>
        <w:continuationSeparator/>
      </w:r>
    </w:p>
  </w:footnote>
  <w:footnote w:type="continuationNotice" w:id="1">
    <w:p w14:paraId="25D85600" w14:textId="77777777" w:rsidR="00587B2F" w:rsidRDefault="00587B2F"/>
  </w:footnote>
  <w:footnote w:id="2">
    <w:p w14:paraId="78D1F1C1" w14:textId="77777777" w:rsidR="004650A9" w:rsidRDefault="004650A9" w:rsidP="004650A9">
      <w:pPr>
        <w:pStyle w:val="FootnoteText"/>
      </w:pPr>
      <w:r>
        <w:rPr>
          <w:rStyle w:val="FootnoteReference"/>
        </w:rPr>
        <w:footnoteRef/>
      </w:r>
      <w:r>
        <w:t xml:space="preserve"> An invocation/prayer of Prophet Muḥammad quoted by Shoghi Effendi in </w:t>
      </w:r>
      <w:r w:rsidRPr="0079582B">
        <w:rPr>
          <w:i/>
          <w:iCs/>
        </w:rPr>
        <w:t>The Dawn-Breakers</w:t>
      </w:r>
      <w:r>
        <w:t>, p. 352.</w:t>
      </w:r>
    </w:p>
  </w:footnote>
  <w:footnote w:id="3">
    <w:p w14:paraId="29347C77" w14:textId="49DEA21D" w:rsidR="004650A9" w:rsidRDefault="004650A9" w:rsidP="004650A9">
      <w:pPr>
        <w:pStyle w:val="FootnoteText"/>
      </w:pPr>
      <w:r>
        <w:rPr>
          <w:rStyle w:val="FootnoteReference"/>
        </w:rPr>
        <w:footnoteRef/>
      </w:r>
      <w:r>
        <w:t xml:space="preserve"> Reference to the land for the Ma</w:t>
      </w:r>
      <w:r w:rsidRPr="00C02CE2">
        <w:rPr>
          <w:u w:val="single"/>
        </w:rPr>
        <w:t>s</w:t>
      </w:r>
      <w:r w:rsidR="00C02CE2" w:rsidRPr="00C02CE2">
        <w:rPr>
          <w:u w:val="single"/>
        </w:rPr>
        <w:t>h</w:t>
      </w:r>
      <w:r>
        <w:t>riqu’l-</w:t>
      </w:r>
      <w:r w:rsidRPr="00C02CE2">
        <w:t>A</w:t>
      </w:r>
      <w:r w:rsidR="00C02CE2" w:rsidRPr="00C02CE2">
        <w:rPr>
          <w:u w:val="single"/>
        </w:rPr>
        <w:t>d</w:t>
      </w:r>
      <w:r w:rsidRPr="00C02CE2">
        <w:rPr>
          <w:u w:val="single"/>
        </w:rPr>
        <w:t>h</w:t>
      </w:r>
      <w:r w:rsidRPr="00C02CE2">
        <w:t>kár</w:t>
      </w:r>
      <w:r>
        <w:t xml:space="preserve"> in ‘</w:t>
      </w:r>
      <w:r w:rsidRPr="00CF3094">
        <w:t>I</w:t>
      </w:r>
      <w:r w:rsidRPr="00CF3094">
        <w:rPr>
          <w:u w:val="single"/>
        </w:rPr>
        <w:t>sh</w:t>
      </w:r>
      <w:r w:rsidRPr="00CF3094">
        <w:t>qábád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30DF" w14:textId="77777777" w:rsidR="00FE6472" w:rsidRDefault="00FE6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A9"/>
    <w:rsid w:val="000A4B6F"/>
    <w:rsid w:val="001D102C"/>
    <w:rsid w:val="00213536"/>
    <w:rsid w:val="003168CC"/>
    <w:rsid w:val="004502EA"/>
    <w:rsid w:val="004650A9"/>
    <w:rsid w:val="004D41E8"/>
    <w:rsid w:val="004E1D0E"/>
    <w:rsid w:val="00587B2F"/>
    <w:rsid w:val="008B5769"/>
    <w:rsid w:val="008C3D22"/>
    <w:rsid w:val="009F28FB"/>
    <w:rsid w:val="00A32EB9"/>
    <w:rsid w:val="00AE10D8"/>
    <w:rsid w:val="00B7016E"/>
    <w:rsid w:val="00C02CE2"/>
    <w:rsid w:val="00CD673D"/>
    <w:rsid w:val="00FE64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911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A9"/>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50A9"/>
    <w:rPr>
      <w:sz w:val="20"/>
      <w:szCs w:val="20"/>
    </w:rPr>
  </w:style>
  <w:style w:type="character" w:customStyle="1" w:styleId="FootnoteTextChar">
    <w:name w:val="Footnote Text Char"/>
    <w:basedOn w:val="DefaultParagraphFont"/>
    <w:link w:val="FootnoteText"/>
    <w:uiPriority w:val="99"/>
    <w:semiHidden/>
    <w:rsid w:val="004650A9"/>
    <w:rPr>
      <w:rFonts w:ascii="Times New Roman" w:eastAsia="Times New Roman" w:hAnsi="Times New Roman" w:cs="Times New Roman"/>
      <w:sz w:val="20"/>
      <w:lang w:bidi="ar-SA"/>
    </w:rPr>
  </w:style>
  <w:style w:type="character" w:styleId="FootnoteReference">
    <w:name w:val="footnote reference"/>
    <w:uiPriority w:val="99"/>
    <w:semiHidden/>
    <w:unhideWhenUsed/>
    <w:rsid w:val="004650A9"/>
    <w:rPr>
      <w:vertAlign w:val="superscript"/>
    </w:rPr>
  </w:style>
  <w:style w:type="character" w:styleId="CommentReference">
    <w:name w:val="annotation reference"/>
    <w:basedOn w:val="DefaultParagraphFont"/>
    <w:uiPriority w:val="99"/>
    <w:semiHidden/>
    <w:unhideWhenUsed/>
    <w:rsid w:val="00A32EB9"/>
    <w:rPr>
      <w:sz w:val="16"/>
      <w:szCs w:val="16"/>
    </w:rPr>
  </w:style>
  <w:style w:type="paragraph" w:styleId="CommentText">
    <w:name w:val="annotation text"/>
    <w:basedOn w:val="Normal"/>
    <w:link w:val="CommentTextChar"/>
    <w:uiPriority w:val="99"/>
    <w:semiHidden/>
    <w:unhideWhenUsed/>
    <w:rsid w:val="00A32EB9"/>
    <w:rPr>
      <w:sz w:val="20"/>
      <w:szCs w:val="20"/>
    </w:rPr>
  </w:style>
  <w:style w:type="character" w:customStyle="1" w:styleId="CommentTextChar">
    <w:name w:val="Comment Text Char"/>
    <w:basedOn w:val="DefaultParagraphFont"/>
    <w:link w:val="CommentText"/>
    <w:uiPriority w:val="99"/>
    <w:semiHidden/>
    <w:rsid w:val="00A32EB9"/>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A32EB9"/>
    <w:rPr>
      <w:b/>
      <w:bCs/>
    </w:rPr>
  </w:style>
  <w:style w:type="character" w:customStyle="1" w:styleId="CommentSubjectChar">
    <w:name w:val="Comment Subject Char"/>
    <w:basedOn w:val="CommentTextChar"/>
    <w:link w:val="CommentSubject"/>
    <w:uiPriority w:val="99"/>
    <w:semiHidden/>
    <w:rsid w:val="00A32EB9"/>
    <w:rPr>
      <w:rFonts w:ascii="Times New Roman" w:eastAsia="Times New Roman" w:hAnsi="Times New Roman" w:cs="Times New Roman"/>
      <w:b/>
      <w:bCs/>
      <w:sz w:val="20"/>
      <w:lang w:bidi="ar-SA"/>
    </w:rPr>
  </w:style>
  <w:style w:type="paragraph" w:styleId="Header">
    <w:name w:val="header"/>
    <w:basedOn w:val="Normal"/>
    <w:link w:val="HeaderChar"/>
    <w:uiPriority w:val="99"/>
    <w:unhideWhenUsed/>
    <w:rsid w:val="00CD673D"/>
    <w:pPr>
      <w:tabs>
        <w:tab w:val="center" w:pos="4680"/>
        <w:tab w:val="right" w:pos="9360"/>
      </w:tabs>
    </w:pPr>
  </w:style>
  <w:style w:type="character" w:customStyle="1" w:styleId="HeaderChar">
    <w:name w:val="Header Char"/>
    <w:basedOn w:val="DefaultParagraphFont"/>
    <w:link w:val="Header"/>
    <w:uiPriority w:val="99"/>
    <w:rsid w:val="00CD673D"/>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CD673D"/>
    <w:pPr>
      <w:tabs>
        <w:tab w:val="center" w:pos="4680"/>
        <w:tab w:val="right" w:pos="9360"/>
      </w:tabs>
    </w:pPr>
  </w:style>
  <w:style w:type="character" w:customStyle="1" w:styleId="FooterChar">
    <w:name w:val="Footer Char"/>
    <w:basedOn w:val="DefaultParagraphFont"/>
    <w:link w:val="Footer"/>
    <w:uiPriority w:val="99"/>
    <w:rsid w:val="00CD673D"/>
    <w:rPr>
      <w:rFonts w:ascii="Times New Roman" w:eastAsia="Times New Roman" w:hAnsi="Times New Roman" w:cs="Times New Roman"/>
      <w:sz w:val="24"/>
      <w:szCs w:val="24"/>
      <w:lang w:bidi="ar-SA"/>
    </w:rPr>
  </w:style>
  <w:style w:type="character" w:styleId="Hyperlink">
    <w:name w:val="Hyperlink"/>
    <w:uiPriority w:val="99"/>
    <w:unhideWhenUsed/>
    <w:rsid w:val="004D4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2022-11-21T17:40:00Z</dcterms:created>
  <dcterms:modified xsi:type="dcterms:W3CDTF">2023-10-31T09:25:00Z</dcterms:modified>
</cp:coreProperties>
</file>