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9DF30" w14:textId="77777777" w:rsidR="00C74B42" w:rsidRPr="00713BE5" w:rsidRDefault="0032161E" w:rsidP="0032161E">
      <w:pPr>
        <w:pStyle w:val="BWCTitle"/>
        <w:rPr>
          <w:b/>
          <w:bCs/>
          <w:u w:val="none"/>
        </w:rPr>
      </w:pPr>
      <w:r w:rsidRPr="00713BE5">
        <w:rPr>
          <w:b/>
          <w:bCs/>
          <w:u w:val="none"/>
        </w:rPr>
        <w:t xml:space="preserve">A </w:t>
      </w:r>
      <w:r w:rsidR="00C74B42" w:rsidRPr="00713BE5">
        <w:rPr>
          <w:b/>
          <w:bCs/>
          <w:u w:val="none"/>
        </w:rPr>
        <w:t>CODIFICATION OF THE LAW OF ḤUQÚQU’LLÁH</w:t>
      </w:r>
    </w:p>
    <w:p w14:paraId="1053FC86" w14:textId="77777777" w:rsidR="00C74B42" w:rsidRPr="00713BE5" w:rsidRDefault="00C74B42" w:rsidP="004A1AB6">
      <w:pPr>
        <w:pStyle w:val="BWCNormal"/>
        <w:jc w:val="center"/>
      </w:pPr>
      <w:r w:rsidRPr="00713BE5">
        <w:t>Prepared by the Research Department</w:t>
      </w:r>
      <w:r w:rsidR="006413B6">
        <w:t xml:space="preserve"> </w:t>
      </w:r>
      <w:r w:rsidRPr="00713BE5">
        <w:t>of the Bahá’í World Centre in 1987,</w:t>
      </w:r>
      <w:r w:rsidR="004A1AB6">
        <w:t xml:space="preserve"> </w:t>
      </w:r>
      <w:r w:rsidR="004A1AB6">
        <w:br/>
      </w:r>
      <w:r w:rsidRPr="00713BE5">
        <w:t>and revised in 2007, at the request of the Universal House of Justice</w:t>
      </w:r>
    </w:p>
    <w:p w14:paraId="010B4A1F" w14:textId="77777777" w:rsidR="00C74B42" w:rsidRDefault="00C74B42" w:rsidP="00C74B42"/>
    <w:p w14:paraId="29272589" w14:textId="77777777" w:rsidR="00A508F6" w:rsidRPr="00713BE5" w:rsidRDefault="00A508F6" w:rsidP="00C74B42"/>
    <w:p w14:paraId="5DD7BAEE" w14:textId="77777777" w:rsidR="00C74B42" w:rsidRPr="00713BE5" w:rsidRDefault="00C74B42" w:rsidP="00AA49B1">
      <w:pPr>
        <w:pStyle w:val="Heading1"/>
        <w:tabs>
          <w:tab w:val="num" w:pos="567"/>
        </w:tabs>
        <w:ind w:left="567" w:hanging="585"/>
      </w:pPr>
      <w:r w:rsidRPr="00713BE5">
        <w:t>Preamble</w:t>
      </w:r>
    </w:p>
    <w:p w14:paraId="382B30B7" w14:textId="77777777" w:rsidR="00C74B42" w:rsidRPr="00713BE5" w:rsidRDefault="00C74B42" w:rsidP="00C74B42"/>
    <w:p w14:paraId="6BF89C04" w14:textId="77777777" w:rsidR="00C74B42" w:rsidRPr="00893777" w:rsidRDefault="00C74B42" w:rsidP="00893777">
      <w:pPr>
        <w:pStyle w:val="BWCBodyText"/>
      </w:pPr>
      <w:r w:rsidRPr="00893777">
        <w:t>Ḥuqúqu’lláh (The Right of God) is a great law (13)</w:t>
      </w:r>
      <w:r w:rsidRPr="00DD1FF6">
        <w:rPr>
          <w:rStyle w:val="FootnoteReference"/>
        </w:rPr>
        <w:footnoteReference w:id="1"/>
      </w:r>
      <w:r w:rsidRPr="00893777">
        <w:t xml:space="preserve"> and a sacred </w:t>
      </w:r>
      <w:r w:rsidR="008330B3">
        <w:t>institution</w:t>
      </w:r>
      <w:r w:rsidR="00893777">
        <w:t>.  Laid </w:t>
      </w:r>
      <w:r w:rsidR="00C118FA" w:rsidRPr="00893777">
        <w:t>down in </w:t>
      </w:r>
      <w:r w:rsidR="004E4923" w:rsidRPr="00893777">
        <w:rPr>
          <w:i/>
          <w:iCs/>
        </w:rPr>
        <w:t>T</w:t>
      </w:r>
      <w:r w:rsidRPr="00893777">
        <w:rPr>
          <w:i/>
          <w:iCs/>
        </w:rPr>
        <w:t xml:space="preserve">he </w:t>
      </w:r>
      <w:r w:rsidR="003F6DD5" w:rsidRPr="00893777">
        <w:rPr>
          <w:i/>
          <w:iCs/>
        </w:rPr>
        <w:t>Kitáb-i-Aqdas</w:t>
      </w:r>
      <w:r w:rsidR="00EE3147" w:rsidRPr="00893777">
        <w:rPr>
          <w:i/>
          <w:iCs/>
        </w:rPr>
        <w:t xml:space="preserve">: </w:t>
      </w:r>
      <w:r w:rsidR="00D51726">
        <w:rPr>
          <w:i/>
          <w:iCs/>
        </w:rPr>
        <w:t xml:space="preserve"> T</w:t>
      </w:r>
      <w:r w:rsidR="003F6DD5" w:rsidRPr="00893777">
        <w:rPr>
          <w:i/>
          <w:iCs/>
        </w:rPr>
        <w:t xml:space="preserve">he </w:t>
      </w:r>
      <w:r w:rsidRPr="00893777">
        <w:rPr>
          <w:i/>
          <w:iCs/>
        </w:rPr>
        <w:t>Most Holy Book</w:t>
      </w:r>
      <w:r w:rsidRPr="00893777">
        <w:t>, it is one of the key i</w:t>
      </w:r>
      <w:r w:rsidR="00C118FA" w:rsidRPr="00893777">
        <w:t>nstruments for constructing the </w:t>
      </w:r>
      <w:r w:rsidRPr="00893777">
        <w:t xml:space="preserve">foundation and supporting the structure of the </w:t>
      </w:r>
      <w:r w:rsidR="00893777">
        <w:t>World Order of Bahá’u’lláh.  It </w:t>
      </w:r>
      <w:r w:rsidRPr="00893777">
        <w:t>has far-reaching ramifications that extend from promoting the welfare of the individual to buttressing the authority and extending the activity of the Head of the Faith.  In providing a regular and systematic source of revenue for the Central Institution of the Cause, Bahá’u’lláh has assured the means for the independence and decisive functio</w:t>
      </w:r>
      <w:r w:rsidR="00893777">
        <w:t>ning of the World Centre of His </w:t>
      </w:r>
      <w:r w:rsidRPr="00893777">
        <w:t>Faith.</w:t>
      </w:r>
    </w:p>
    <w:p w14:paraId="3B8646DB" w14:textId="77777777" w:rsidR="00C74B42" w:rsidRPr="00481F40" w:rsidRDefault="00C74B42" w:rsidP="00893777">
      <w:pPr>
        <w:pStyle w:val="BWCBodyText"/>
      </w:pPr>
    </w:p>
    <w:p w14:paraId="29590DB6" w14:textId="77777777" w:rsidR="00C74B42" w:rsidRPr="00481F40" w:rsidRDefault="00C74B42" w:rsidP="008330B3">
      <w:pPr>
        <w:pStyle w:val="BWCBodyText"/>
        <w:ind w:right="-118"/>
      </w:pPr>
      <w:r w:rsidRPr="00481F40">
        <w:t>By identifying this law as “The Right of God”, Bahá’u’lláh has re</w:t>
      </w:r>
      <w:r w:rsidR="00EE3147">
        <w:t>-</w:t>
      </w:r>
      <w:r w:rsidR="00CE43E5">
        <w:t>emphasized the nature </w:t>
      </w:r>
      <w:r w:rsidRPr="00481F40">
        <w:t>of the relationship between human beings and their Creator as a Covenant based on mutual assurances and obligations; and, by designating the Central Autho</w:t>
      </w:r>
      <w:r w:rsidR="00893777" w:rsidRPr="00893777">
        <w:t>rity in the Cause, to which all</w:t>
      </w:r>
      <w:r w:rsidR="00CE43E5">
        <w:t> </w:t>
      </w:r>
      <w:r w:rsidRPr="00481F40">
        <w:t>must turn, as the recipient of this Right, He has created a dire</w:t>
      </w:r>
      <w:r w:rsidR="00CE43E5">
        <w:t>ct and vital link between every </w:t>
      </w:r>
      <w:r w:rsidRPr="00481F40">
        <w:t xml:space="preserve">individual believer and the Head of </w:t>
      </w:r>
      <w:r w:rsidR="0007160D">
        <w:t>H</w:t>
      </w:r>
      <w:r w:rsidRPr="00481F40">
        <w:t>is Faith that is unique in the structure of His World Order.  This law enables the friends to recognize the elevation of their ec</w:t>
      </w:r>
      <w:r w:rsidR="00893777">
        <w:t>onomic activity to the </w:t>
      </w:r>
      <w:r w:rsidR="00CE43E5">
        <w:t xml:space="preserve">level of </w:t>
      </w:r>
      <w:r w:rsidRPr="00481F40">
        <w:t>divine acceptability; it is a means for the purification of their wealth and a magnet attracting divine blessings.  The computation and the payment of Ḥuqúqu’lláh, wi</w:t>
      </w:r>
      <w:r w:rsidR="00C118FA" w:rsidRPr="00481F40">
        <w:t>thin the general guidelines set</w:t>
      </w:r>
      <w:r w:rsidR="00893777" w:rsidRPr="00893777">
        <w:t xml:space="preserve"> </w:t>
      </w:r>
      <w:r w:rsidRPr="00481F40">
        <w:t>forth, are exclusively a matter of conscience between the individual and God (</w:t>
      </w:r>
      <w:r w:rsidR="00CE43E5">
        <w:t>5</w:t>
      </w:r>
      <w:r w:rsidR="008330B3">
        <w:t>6</w:t>
      </w:r>
      <w:r w:rsidR="00CE43E5">
        <w:t xml:space="preserve">, </w:t>
      </w:r>
      <w:r w:rsidR="008330B3">
        <w:t>82</w:t>
      </w:r>
      <w:r w:rsidRPr="00481F40">
        <w:t>); demanding or soliciting the Ḥuqúqu’lláh is prohibited (</w:t>
      </w:r>
      <w:r w:rsidR="008330B3">
        <w:t>56</w:t>
      </w:r>
      <w:r w:rsidR="008707BF" w:rsidRPr="00481F40">
        <w:t>, 8</w:t>
      </w:r>
      <w:r w:rsidR="008330B3">
        <w:t>2</w:t>
      </w:r>
      <w:r w:rsidR="008707BF" w:rsidRPr="00481F40">
        <w:t>, 8</w:t>
      </w:r>
      <w:r w:rsidR="008330B3">
        <w:t>3</w:t>
      </w:r>
      <w:r w:rsidR="008707BF" w:rsidRPr="00481F40">
        <w:t>, 9</w:t>
      </w:r>
      <w:r w:rsidR="008330B3">
        <w:t>3</w:t>
      </w:r>
      <w:r w:rsidR="008707BF" w:rsidRPr="00481F40">
        <w:t>, 10</w:t>
      </w:r>
      <w:r w:rsidR="008330B3">
        <w:t>6</w:t>
      </w:r>
      <w:r w:rsidRPr="00481F40">
        <w:t>)</w:t>
      </w:r>
      <w:r w:rsidR="003F6DD5">
        <w:t>—</w:t>
      </w:r>
      <w:r w:rsidR="00CE43E5">
        <w:t xml:space="preserve">only </w:t>
      </w:r>
      <w:r w:rsidRPr="00481F40">
        <w:t xml:space="preserve">appeals, reminders and exhortations of a general nature, under the </w:t>
      </w:r>
      <w:r w:rsidR="00CE43E5">
        <w:t>auspices of the institutions of </w:t>
      </w:r>
      <w:r w:rsidRPr="00481F40">
        <w:t>the Faith, are permissible (</w:t>
      </w:r>
      <w:r w:rsidR="008330B3">
        <w:t>94</w:t>
      </w:r>
      <w:r w:rsidR="008707BF" w:rsidRPr="00481F40">
        <w:t>, 9</w:t>
      </w:r>
      <w:r w:rsidR="008330B3">
        <w:t>6, 97</w:t>
      </w:r>
      <w:r w:rsidR="003536A2" w:rsidRPr="00481F40">
        <w:t>, 10</w:t>
      </w:r>
      <w:r w:rsidR="008330B3">
        <w:t>0</w:t>
      </w:r>
      <w:r w:rsidRPr="00481F40">
        <w:t>).  That the observan</w:t>
      </w:r>
      <w:r w:rsidR="00CE43E5">
        <w:t>ce and enforcement of this law, </w:t>
      </w:r>
      <w:r w:rsidRPr="00481F40">
        <w:t>so crucial to the material well-being of the emerging Bahá’í commonwealth</w:t>
      </w:r>
      <w:r w:rsidR="008330B3">
        <w:t xml:space="preserve"> (29</w:t>
      </w:r>
      <w:r w:rsidR="008707BF" w:rsidRPr="00481F40">
        <w:t>)</w:t>
      </w:r>
      <w:r w:rsidR="00C118FA" w:rsidRPr="00481F40">
        <w:t xml:space="preserve">, should thus have </w:t>
      </w:r>
      <w:r w:rsidRPr="00481F40">
        <w:t>been left entirely to the faith and conscience of the ind</w:t>
      </w:r>
      <w:r w:rsidR="00CE43E5">
        <w:t xml:space="preserve">ividual </w:t>
      </w:r>
      <w:proofErr w:type="gramStart"/>
      <w:r w:rsidR="00CE43E5">
        <w:t>gives</w:t>
      </w:r>
      <w:proofErr w:type="gramEnd"/>
      <w:r w:rsidR="00CE43E5">
        <w:t xml:space="preserve"> substance to, and </w:t>
      </w:r>
      <w:r w:rsidRPr="00481F40">
        <w:t xml:space="preserve">sheds light on, what the beloved Master calls the spiritual solution to </w:t>
      </w:r>
      <w:r w:rsidR="00C118FA" w:rsidRPr="00481F40">
        <w:t>economic problems.  Indeed, the </w:t>
      </w:r>
      <w:r w:rsidRPr="00481F40">
        <w:t>implications of the law of Ḥuqúqu’lláh for the realization of a number of the principles of the Faith, such as the elimination of extremes of</w:t>
      </w:r>
      <w:r w:rsidR="00CE43E5">
        <w:t xml:space="preserve"> wealth and poverty, and a more </w:t>
      </w:r>
      <w:r w:rsidRPr="00481F40">
        <w:t>equitable distribution of resources, will increasingly become manifest as the friends assume in ever greater measure the responsibility for observing it.</w:t>
      </w:r>
    </w:p>
    <w:p w14:paraId="586FC3E6" w14:textId="77777777" w:rsidR="00C74B42" w:rsidRPr="00481F40" w:rsidRDefault="00C74B42" w:rsidP="00CE43E5">
      <w:pPr>
        <w:pStyle w:val="BWCBodyText"/>
      </w:pPr>
    </w:p>
    <w:p w14:paraId="52BB4504" w14:textId="77777777" w:rsidR="00C74B42" w:rsidRDefault="00C74B42" w:rsidP="00CE43E5">
      <w:pPr>
        <w:pStyle w:val="BWCBodyText"/>
      </w:pPr>
      <w:r w:rsidRPr="00481F40">
        <w:t>The fundamentals of the law of Ḥuqúqu’lláh are promulgated in the Kitáb-i-Aqdas.  Further elaborations of its features are to be found in other Writings of Bahá’u’lláh, in Tablets from ‘Abdu’l-Bahá and in letters from Shoghi Effendi and the Univer</w:t>
      </w:r>
      <w:r w:rsidR="003F6DD5">
        <w:t>sal House of Justice, mostly in </w:t>
      </w:r>
      <w:r w:rsidRPr="00481F40">
        <w:t xml:space="preserve">response to questions raised by the friends.  All these major references have been compiled by the </w:t>
      </w:r>
      <w:smartTag w:uri="urn:schemas-microsoft-com:office:smarttags" w:element="City">
        <w:r w:rsidRPr="00481F40">
          <w:t>Research Department</w:t>
        </w:r>
      </w:smartTag>
      <w:r w:rsidRPr="00481F40">
        <w:t xml:space="preserve"> of the House of Justice and separately published.  A</w:t>
      </w:r>
      <w:r w:rsidR="003F6DD5">
        <w:t xml:space="preserve"> study of that </w:t>
      </w:r>
      <w:r w:rsidRPr="00481F40">
        <w:t>compilation makes it clear that the application of the law has been progressive, and will continue to be so, as its ramifications and subsidiary rulings are elucidated.</w:t>
      </w:r>
    </w:p>
    <w:p w14:paraId="75538AF5" w14:textId="77777777" w:rsidR="00CE43E5" w:rsidRPr="00481F40" w:rsidRDefault="00CE43E5" w:rsidP="00CE43E5">
      <w:pPr>
        <w:pStyle w:val="BWCBodyText"/>
      </w:pPr>
    </w:p>
    <w:p w14:paraId="2106D769" w14:textId="77777777" w:rsidR="00C74B42" w:rsidRPr="00481F40" w:rsidRDefault="00CE43E5" w:rsidP="00CE43E5">
      <w:pPr>
        <w:pStyle w:val="BWCBodyText"/>
      </w:pPr>
      <w:r>
        <w:br w:type="page"/>
      </w:r>
      <w:r w:rsidR="00C74B42" w:rsidRPr="00481F40">
        <w:lastRenderedPageBreak/>
        <w:t>The following is a preliminary attempt at codifying the information in the Writin</w:t>
      </w:r>
      <w:r>
        <w:t>gs on the </w:t>
      </w:r>
      <w:r w:rsidR="00C74B42" w:rsidRPr="00481F40">
        <w:t>subject of Ḥuqúqu’lláh.  It should be emphasized, however, that</w:t>
      </w:r>
      <w:r w:rsidR="00C118FA" w:rsidRPr="00481F40">
        <w:t xml:space="preserve"> the friends should not attempt </w:t>
      </w:r>
      <w:r w:rsidR="00C74B42" w:rsidRPr="00481F40">
        <w:t>to read into it an element of rigidity or total comprehen</w:t>
      </w:r>
      <w:r w:rsidR="00C118FA" w:rsidRPr="00481F40">
        <w:t>siveness.  The questions put to </w:t>
      </w:r>
      <w:r w:rsidR="00C74B42" w:rsidRPr="00481F40">
        <w:t>Bahá’u’lláh, the Master and Shoghi Effendi were from friends re</w:t>
      </w:r>
      <w:r w:rsidR="00C118FA" w:rsidRPr="00481F40">
        <w:t>siding in places and times with </w:t>
      </w:r>
      <w:r w:rsidR="00C74B42" w:rsidRPr="00481F40">
        <w:t>infinitely simpler economic systems and relationships than those which obtain today.  What can be learned from them are clear guiding principles wh</w:t>
      </w:r>
      <w:r w:rsidR="00C118FA" w:rsidRPr="00481F40">
        <w:t>ose application to changing and </w:t>
      </w:r>
      <w:r w:rsidR="00C74B42" w:rsidRPr="00481F40">
        <w:t>more complex conditions must be considered.  The subject will undoubtedly occupy the House of Justice in evolving legislation, as necessary, f</w:t>
      </w:r>
      <w:r w:rsidR="00C118FA" w:rsidRPr="00481F40">
        <w:t>or a long time to come.  As the </w:t>
      </w:r>
      <w:r w:rsidR="00C74B42" w:rsidRPr="00481F40">
        <w:t>F</w:t>
      </w:r>
      <w:r w:rsidR="00C92299" w:rsidRPr="00481F40">
        <w:t>ifth</w:t>
      </w:r>
      <w:r w:rsidR="00C74B42" w:rsidRPr="00481F40">
        <w:t xml:space="preserve"> Epoch of the Formative Age of our Faith unfolds before the eyes of an increasingly watchful humanity, the universal assumption of the obligation of Ḥuqúqu’lláh by the friends </w:t>
      </w:r>
      <w:r w:rsidR="00C92299" w:rsidRPr="00481F40">
        <w:t xml:space="preserve">serves as a clear illustration of a new level of spiritual maturity being attained by </w:t>
      </w:r>
      <w:r w:rsidR="00C74B42" w:rsidRPr="00481F40">
        <w:t>the community of the Greatest Name throughout the world.</w:t>
      </w:r>
    </w:p>
    <w:p w14:paraId="1E829B1B" w14:textId="77777777" w:rsidR="00C74B42" w:rsidRPr="00713BE5" w:rsidRDefault="00C74B42" w:rsidP="00CE43E5">
      <w:pPr>
        <w:pStyle w:val="BWCBodyText"/>
      </w:pPr>
    </w:p>
    <w:p w14:paraId="13852AFC" w14:textId="77777777" w:rsidR="00C74B42" w:rsidRPr="00713BE5" w:rsidRDefault="00C74B42" w:rsidP="00CE43E5">
      <w:pPr>
        <w:pStyle w:val="BWCBodyText"/>
      </w:pPr>
    </w:p>
    <w:p w14:paraId="76CEC6A8" w14:textId="77777777" w:rsidR="00C74B42" w:rsidRPr="00713BE5" w:rsidRDefault="00C74B42" w:rsidP="00AA49B1">
      <w:pPr>
        <w:pStyle w:val="Heading1"/>
        <w:tabs>
          <w:tab w:val="num" w:pos="567"/>
        </w:tabs>
        <w:ind w:left="567" w:hanging="585"/>
      </w:pPr>
      <w:r w:rsidRPr="00713BE5">
        <w:t>A Bounty Granted by God</w:t>
      </w:r>
    </w:p>
    <w:p w14:paraId="75A81550" w14:textId="77777777" w:rsidR="00C74B42" w:rsidRPr="00713BE5" w:rsidRDefault="00C74B42" w:rsidP="00CE43E5">
      <w:pPr>
        <w:pStyle w:val="BWCBodyText"/>
      </w:pPr>
    </w:p>
    <w:p w14:paraId="4C4688AF" w14:textId="77777777" w:rsidR="00C74B42" w:rsidRPr="00713BE5" w:rsidRDefault="00C74B42" w:rsidP="00CE43E5">
      <w:pPr>
        <w:pStyle w:val="BWCBodyText"/>
      </w:pPr>
      <w:r w:rsidRPr="00713BE5">
        <w:t xml:space="preserve">God, while being wholly independent of all created things, has </w:t>
      </w:r>
      <w:r w:rsidR="001F6C90">
        <w:t xml:space="preserve">in His bounty given us this law </w:t>
      </w:r>
      <w:r w:rsidRPr="00713BE5">
        <w:t>(</w:t>
      </w:r>
      <w:r w:rsidR="00137FD2" w:rsidRPr="00713BE5">
        <w:t>3, 13, 22</w:t>
      </w:r>
      <w:r w:rsidRPr="00713BE5">
        <w:t>), for the progress and promotion of the Cause depend on material means (</w:t>
      </w:r>
      <w:r w:rsidR="008330B3">
        <w:t>4, 29</w:t>
      </w:r>
      <w:r w:rsidRPr="00713BE5">
        <w:t>).  Obedience to this law enables the believer to be firm and steadfast in the Covenant (</w:t>
      </w:r>
      <w:r w:rsidR="00137FD2" w:rsidRPr="00713BE5">
        <w:t>22</w:t>
      </w:r>
      <w:r w:rsidRPr="00713BE5">
        <w:t>), provides a reward in every world of the worlds of God (</w:t>
      </w:r>
      <w:r w:rsidR="00137FD2" w:rsidRPr="00713BE5">
        <w:t>13</w:t>
      </w:r>
      <w:r w:rsidR="00713BE5" w:rsidRPr="00713BE5">
        <w:t>)</w:t>
      </w:r>
      <w:r w:rsidRPr="00713BE5">
        <w:t xml:space="preserve"> and is a unique test of true faith (</w:t>
      </w:r>
      <w:r w:rsidR="00137FD2" w:rsidRPr="00713BE5">
        <w:t>24</w:t>
      </w:r>
      <w:r w:rsidRPr="00713BE5">
        <w:t>).</w:t>
      </w:r>
    </w:p>
    <w:p w14:paraId="48F68DB2" w14:textId="77777777" w:rsidR="00C74B42" w:rsidRPr="00713BE5" w:rsidRDefault="00C74B42" w:rsidP="00CE43E5">
      <w:pPr>
        <w:pStyle w:val="BWCBodyText"/>
      </w:pPr>
    </w:p>
    <w:p w14:paraId="35A6C3A0" w14:textId="77777777" w:rsidR="00C74B42" w:rsidRPr="00713BE5" w:rsidRDefault="00C74B42" w:rsidP="00CE43E5">
      <w:pPr>
        <w:pStyle w:val="BWCBodyText"/>
      </w:pPr>
      <w:r w:rsidRPr="00713BE5">
        <w:t>The Ḥuqúqu’lláh is to be offered joyfully and without hesitation (</w:t>
      </w:r>
      <w:r w:rsidR="008330B3">
        <w:t>6, 8, 83</w:t>
      </w:r>
      <w:r w:rsidRPr="00713BE5">
        <w:t>).  When the Ḥuqúqu’lláh is offered in this spirit it will impart prosperity and protection to the friends, purify their worldly possessions (</w:t>
      </w:r>
      <w:r w:rsidR="008330B3">
        <w:t>2, 9, 17, 31, 54, 88</w:t>
      </w:r>
      <w:r w:rsidR="00713BE5" w:rsidRPr="00713BE5">
        <w:t>)</w:t>
      </w:r>
      <w:r w:rsidRPr="00713BE5">
        <w:t xml:space="preserve"> and enable them a</w:t>
      </w:r>
      <w:r w:rsidR="00C118FA">
        <w:t>nd their offspring to </w:t>
      </w:r>
      <w:r w:rsidRPr="00713BE5">
        <w:t>benefit from the fruits of their endeavo</w:t>
      </w:r>
      <w:r w:rsidR="00713BE5" w:rsidRPr="00713BE5">
        <w:t>u</w:t>
      </w:r>
      <w:r w:rsidRPr="00713BE5">
        <w:t>rs (</w:t>
      </w:r>
      <w:r w:rsidR="00137FD2" w:rsidRPr="00713BE5">
        <w:t>17</w:t>
      </w:r>
      <w:r w:rsidRPr="00713BE5">
        <w:t>).</w:t>
      </w:r>
    </w:p>
    <w:p w14:paraId="59ABA26C" w14:textId="77777777" w:rsidR="00C74B42" w:rsidRPr="00713BE5" w:rsidRDefault="00C74B42" w:rsidP="00CE43E5">
      <w:pPr>
        <w:pStyle w:val="BWCBodyText"/>
      </w:pPr>
    </w:p>
    <w:p w14:paraId="2882E626" w14:textId="77777777" w:rsidR="00C74B42" w:rsidRPr="00713BE5" w:rsidRDefault="00C74B42" w:rsidP="00CE43E5">
      <w:pPr>
        <w:pStyle w:val="BWCBodyText"/>
      </w:pPr>
    </w:p>
    <w:p w14:paraId="40C3FC46" w14:textId="77777777" w:rsidR="00C74B42" w:rsidRPr="00713BE5" w:rsidRDefault="00C74B42" w:rsidP="00AA49B1">
      <w:pPr>
        <w:pStyle w:val="Heading1"/>
        <w:tabs>
          <w:tab w:val="clear" w:pos="810"/>
          <w:tab w:val="num" w:pos="567"/>
        </w:tabs>
        <w:ind w:left="567" w:hanging="585"/>
      </w:pPr>
      <w:r w:rsidRPr="00713BE5">
        <w:t xml:space="preserve">Determining the </w:t>
      </w:r>
      <w:r w:rsidR="00713BE5" w:rsidRPr="00713BE5">
        <w:t xml:space="preserve">Amount of </w:t>
      </w:r>
      <w:r w:rsidRPr="00713BE5">
        <w:t>Ḥuqúqu’lláh</w:t>
      </w:r>
    </w:p>
    <w:p w14:paraId="39B1D34F" w14:textId="77777777" w:rsidR="00C74B42" w:rsidRPr="00713BE5" w:rsidRDefault="00C74B42" w:rsidP="00C74B42"/>
    <w:p w14:paraId="76045B48" w14:textId="77777777" w:rsidR="00C74B42" w:rsidRPr="00713BE5" w:rsidRDefault="00C74B42" w:rsidP="00CE43E5">
      <w:pPr>
        <w:pStyle w:val="BWCBodyText"/>
      </w:pPr>
      <w:r w:rsidRPr="00713BE5">
        <w:t>Everything that a believer possesses, with the exception of certain specific items, is subject once and only once to the payment of Ḥuqúqu’lláh.</w:t>
      </w:r>
    </w:p>
    <w:p w14:paraId="202ED457" w14:textId="77777777" w:rsidR="00C74B42" w:rsidRPr="00713BE5" w:rsidRDefault="00C74B42" w:rsidP="00C74B42">
      <w:pPr>
        <w:pStyle w:val="BWCNormal"/>
      </w:pPr>
    </w:p>
    <w:p w14:paraId="3F94D8C2" w14:textId="77777777" w:rsidR="00C74B42" w:rsidRPr="00713BE5" w:rsidRDefault="00C74B42" w:rsidP="008A0F78">
      <w:pPr>
        <w:pStyle w:val="BWCBullet"/>
        <w:numPr>
          <w:ilvl w:val="0"/>
          <w:numId w:val="4"/>
        </w:numPr>
        <w:tabs>
          <w:tab w:val="clear" w:pos="360"/>
          <w:tab w:val="num" w:pos="1098"/>
        </w:tabs>
        <w:spacing w:after="230" w:line="240" w:lineRule="auto"/>
        <w:ind w:left="1116" w:hanging="540"/>
      </w:pPr>
      <w:r w:rsidRPr="00713BE5">
        <w:t>Exempt from assessment to Ḥuqúqu’lláh are:</w:t>
      </w:r>
    </w:p>
    <w:p w14:paraId="4C4C6B6F" w14:textId="77777777" w:rsidR="00C74B42" w:rsidRPr="00713BE5" w:rsidRDefault="00C74B42" w:rsidP="008330B3">
      <w:pPr>
        <w:tabs>
          <w:tab w:val="right" w:pos="-900"/>
          <w:tab w:val="left" w:pos="1548"/>
        </w:tabs>
        <w:spacing w:after="230" w:line="240" w:lineRule="auto"/>
        <w:ind w:left="1548" w:hanging="441"/>
      </w:pPr>
      <w:r w:rsidRPr="00713BE5">
        <w:t>1.</w:t>
      </w:r>
      <w:r w:rsidRPr="00713BE5">
        <w:tab/>
        <w:t>The residence and its needful</w:t>
      </w:r>
      <w:r w:rsidRPr="00713BE5">
        <w:rPr>
          <w:rStyle w:val="FootnoteReference"/>
        </w:rPr>
        <w:footnoteReference w:id="2"/>
      </w:r>
      <w:r w:rsidRPr="00713BE5">
        <w:t xml:space="preserve"> furnishings (</w:t>
      </w:r>
      <w:r w:rsidR="00B327C1" w:rsidRPr="00713BE5">
        <w:t>3</w:t>
      </w:r>
      <w:r w:rsidR="008330B3">
        <w:t>6</w:t>
      </w:r>
      <w:r w:rsidRPr="00713BE5">
        <w:t>)</w:t>
      </w:r>
    </w:p>
    <w:p w14:paraId="2AC25CD0" w14:textId="77777777" w:rsidR="00C118FA" w:rsidRDefault="00C74B42" w:rsidP="008330B3">
      <w:pPr>
        <w:tabs>
          <w:tab w:val="right" w:pos="-900"/>
          <w:tab w:val="left" w:pos="1548"/>
        </w:tabs>
        <w:spacing w:after="230" w:line="240" w:lineRule="auto"/>
        <w:ind w:left="1548" w:hanging="441"/>
      </w:pPr>
      <w:r w:rsidRPr="00713BE5">
        <w:t>2.</w:t>
      </w:r>
      <w:r w:rsidRPr="00713BE5">
        <w:tab/>
        <w:t>The needful business and agricultural equipment which produce income for one’s subsistence (</w:t>
      </w:r>
      <w:r w:rsidR="008330B3">
        <w:t>42, 46</w:t>
      </w:r>
      <w:r w:rsidR="00B327C1" w:rsidRPr="00713BE5">
        <w:t>, 4</w:t>
      </w:r>
      <w:r w:rsidR="008330B3">
        <w:t>7</w:t>
      </w:r>
      <w:r w:rsidR="00A91342">
        <w:t>)</w:t>
      </w:r>
    </w:p>
    <w:p w14:paraId="7D6F6915" w14:textId="77777777" w:rsidR="00C74B42" w:rsidRPr="00C118FA" w:rsidRDefault="00C368F8" w:rsidP="008A0F78">
      <w:pPr>
        <w:pStyle w:val="BWCBullet"/>
        <w:numPr>
          <w:ilvl w:val="0"/>
          <w:numId w:val="4"/>
        </w:numPr>
        <w:tabs>
          <w:tab w:val="clear" w:pos="360"/>
          <w:tab w:val="num" w:pos="1098"/>
        </w:tabs>
        <w:spacing w:after="230" w:line="240" w:lineRule="auto"/>
        <w:ind w:left="1116" w:hanging="540"/>
      </w:pPr>
      <w:r>
        <w:t>Conditions under which p</w:t>
      </w:r>
      <w:r w:rsidR="00C74B42" w:rsidRPr="00713BE5">
        <w:t>ayment falls due:</w:t>
      </w:r>
    </w:p>
    <w:p w14:paraId="361F3C72" w14:textId="77777777" w:rsidR="00C74B42" w:rsidRPr="00713BE5" w:rsidRDefault="00C74B42" w:rsidP="009F2D10">
      <w:pPr>
        <w:tabs>
          <w:tab w:val="right" w:pos="-900"/>
          <w:tab w:val="left" w:pos="1548"/>
        </w:tabs>
        <w:spacing w:after="230" w:line="240" w:lineRule="auto"/>
        <w:ind w:left="1548" w:right="-37" w:hanging="441"/>
      </w:pPr>
      <w:r w:rsidRPr="00713BE5">
        <w:t>1.</w:t>
      </w:r>
      <w:r w:rsidRPr="00713BE5">
        <w:tab/>
        <w:t xml:space="preserve">Ḥuqúqu’lláh is payable as soon as a person’s </w:t>
      </w:r>
      <w:r w:rsidR="009F2D10">
        <w:t xml:space="preserve">assessable possessions reach or </w:t>
      </w:r>
      <w:r w:rsidRPr="00713BE5">
        <w:t xml:space="preserve">exceed the value of 19 </w:t>
      </w:r>
      <w:proofErr w:type="spellStart"/>
      <w:r w:rsidRPr="00713BE5">
        <w:t>mi</w:t>
      </w:r>
      <w:r w:rsidRPr="008330B3">
        <w:rPr>
          <w:u w:val="single"/>
        </w:rPr>
        <w:t>th</w:t>
      </w:r>
      <w:r w:rsidRPr="00713BE5">
        <w:t>qáls</w:t>
      </w:r>
      <w:proofErr w:type="spellEnd"/>
      <w:r w:rsidRPr="00713BE5">
        <w:t xml:space="preserve"> of gold (</w:t>
      </w:r>
      <w:r w:rsidR="008330B3">
        <w:t>43</w:t>
      </w:r>
      <w:r w:rsidRPr="00713BE5">
        <w:t>).  [19 mi</w:t>
      </w:r>
      <w:r w:rsidRPr="008330B3">
        <w:rPr>
          <w:u w:val="single"/>
        </w:rPr>
        <w:t>th</w:t>
      </w:r>
      <w:r w:rsidR="009F2D10">
        <w:t xml:space="preserve">qáls equal </w:t>
      </w:r>
      <w:r w:rsidRPr="00713BE5">
        <w:t>approximately 2.2 troy ounces or approximately 69.2 grams (</w:t>
      </w:r>
      <w:r w:rsidR="008330B3">
        <w:t>52</w:t>
      </w:r>
      <w:r w:rsidRPr="00713BE5">
        <w:t>).]</w:t>
      </w:r>
    </w:p>
    <w:p w14:paraId="675EB7F4" w14:textId="77777777" w:rsidR="00C74B42" w:rsidRPr="00713BE5" w:rsidRDefault="00C74B42" w:rsidP="009F2D10">
      <w:pPr>
        <w:numPr>
          <w:ilvl w:val="0"/>
          <w:numId w:val="5"/>
        </w:numPr>
        <w:tabs>
          <w:tab w:val="clear" w:pos="1890"/>
          <w:tab w:val="left" w:pos="2034"/>
        </w:tabs>
        <w:spacing w:before="120" w:after="230" w:line="240" w:lineRule="auto"/>
        <w:ind w:left="2052" w:right="-235" w:hanging="504"/>
      </w:pPr>
      <w:r w:rsidRPr="00713BE5">
        <w:t>The amount to be paid is 19% of the value of the assessable property (</w:t>
      </w:r>
      <w:r w:rsidR="008330B3">
        <w:t>3, 34</w:t>
      </w:r>
      <w:r w:rsidRPr="00713BE5">
        <w:t>).</w:t>
      </w:r>
    </w:p>
    <w:p w14:paraId="37C403FA" w14:textId="77777777" w:rsidR="00C118FA" w:rsidRDefault="00C74B42" w:rsidP="008330B3">
      <w:pPr>
        <w:numPr>
          <w:ilvl w:val="0"/>
          <w:numId w:val="5"/>
        </w:numPr>
        <w:tabs>
          <w:tab w:val="clear" w:pos="1890"/>
          <w:tab w:val="left" w:pos="2034"/>
        </w:tabs>
        <w:spacing w:before="120" w:after="230" w:line="240" w:lineRule="auto"/>
        <w:ind w:left="2052" w:hanging="504"/>
      </w:pPr>
      <w:r w:rsidRPr="00713BE5">
        <w:t xml:space="preserve">The payment is </w:t>
      </w:r>
      <w:r w:rsidR="00C368F8">
        <w:t>calculated</w:t>
      </w:r>
      <w:r w:rsidRPr="00713BE5">
        <w:t xml:space="preserve"> on whole units of 19 </w:t>
      </w:r>
      <w:proofErr w:type="spellStart"/>
      <w:r w:rsidRPr="00713BE5">
        <w:t>mi</w:t>
      </w:r>
      <w:r w:rsidRPr="008330B3">
        <w:rPr>
          <w:u w:val="single"/>
        </w:rPr>
        <w:t>th</w:t>
      </w:r>
      <w:r w:rsidRPr="00713BE5">
        <w:t>qáls</w:t>
      </w:r>
      <w:proofErr w:type="spellEnd"/>
      <w:r w:rsidRPr="00713BE5">
        <w:t xml:space="preserve"> of gold (</w:t>
      </w:r>
      <w:r w:rsidR="00765C32" w:rsidRPr="00713BE5">
        <w:t>4</w:t>
      </w:r>
      <w:r w:rsidR="008330B3">
        <w:t>1</w:t>
      </w:r>
      <w:r w:rsidRPr="00713BE5">
        <w:t>).</w:t>
      </w:r>
    </w:p>
    <w:p w14:paraId="75D95CB8" w14:textId="77777777" w:rsidR="00C74B42" w:rsidRPr="00713BE5" w:rsidRDefault="0031548F" w:rsidP="0031548F">
      <w:pPr>
        <w:tabs>
          <w:tab w:val="right" w:pos="-900"/>
          <w:tab w:val="left" w:pos="1548"/>
        </w:tabs>
        <w:spacing w:after="230" w:line="240" w:lineRule="auto"/>
        <w:ind w:left="1548" w:hanging="441"/>
      </w:pPr>
      <w:r>
        <w:lastRenderedPageBreak/>
        <w:t>2.</w:t>
      </w:r>
      <w:r>
        <w:tab/>
      </w:r>
      <w:r w:rsidR="00C74B42" w:rsidRPr="00713BE5">
        <w:t>Ḥuqúqu’lláh is payable on further units of 19 mi</w:t>
      </w:r>
      <w:r w:rsidR="00C74B42" w:rsidRPr="008330B3">
        <w:rPr>
          <w:u w:val="single"/>
        </w:rPr>
        <w:t>th</w:t>
      </w:r>
      <w:r w:rsidR="00C74B42" w:rsidRPr="00713BE5">
        <w:t>qáls of gold when subsequently acquired possessions, after the de</w:t>
      </w:r>
      <w:r w:rsidR="009F2D10">
        <w:t>duction of the annual expenses, </w:t>
      </w:r>
      <w:r w:rsidR="00C74B42" w:rsidRPr="00713BE5">
        <w:t>raise the value of the assessable pr</w:t>
      </w:r>
      <w:r w:rsidR="009F2D10">
        <w:t>operty sufficiently.  Among the </w:t>
      </w:r>
      <w:r w:rsidR="00C74B42" w:rsidRPr="00713BE5">
        <w:t>expenses to be deducted are:</w:t>
      </w:r>
    </w:p>
    <w:p w14:paraId="2EC6E2F3" w14:textId="77777777" w:rsidR="00C74B42" w:rsidRPr="00713BE5" w:rsidRDefault="0031548F" w:rsidP="0031548F">
      <w:pPr>
        <w:tabs>
          <w:tab w:val="left" w:pos="2034"/>
        </w:tabs>
        <w:spacing w:before="120" w:after="230" w:line="240" w:lineRule="auto"/>
        <w:ind w:left="1530"/>
      </w:pPr>
      <w:r>
        <w:t>a)</w:t>
      </w:r>
      <w:r>
        <w:tab/>
      </w:r>
      <w:r w:rsidR="00C74B42" w:rsidRPr="00713BE5">
        <w:t>The general expenses of living (</w:t>
      </w:r>
      <w:r w:rsidR="008330B3">
        <w:t>45, 48, 49</w:t>
      </w:r>
      <w:r w:rsidR="00C74B42" w:rsidRPr="00713BE5">
        <w:t>)</w:t>
      </w:r>
    </w:p>
    <w:p w14:paraId="1EFD5188" w14:textId="77777777" w:rsidR="00C74B42" w:rsidRPr="00713BE5" w:rsidRDefault="0031548F" w:rsidP="0031548F">
      <w:pPr>
        <w:tabs>
          <w:tab w:val="left" w:pos="2034"/>
        </w:tabs>
        <w:spacing w:before="120" w:after="230" w:line="240" w:lineRule="auto"/>
        <w:ind w:left="1530"/>
      </w:pPr>
      <w:r>
        <w:t>b)</w:t>
      </w:r>
      <w:r>
        <w:tab/>
      </w:r>
      <w:r w:rsidR="00C74B42" w:rsidRPr="00713BE5">
        <w:t>Losses and expenses incurred on the sale of possessions (</w:t>
      </w:r>
      <w:r w:rsidR="008330B3">
        <w:t>55, 78</w:t>
      </w:r>
      <w:r w:rsidR="00C74B42" w:rsidRPr="00713BE5">
        <w:t>)</w:t>
      </w:r>
    </w:p>
    <w:p w14:paraId="772D8C4B" w14:textId="77777777" w:rsidR="00C74B42" w:rsidRPr="00713BE5" w:rsidRDefault="00C74B42" w:rsidP="008A0F78">
      <w:pPr>
        <w:numPr>
          <w:ilvl w:val="0"/>
          <w:numId w:val="5"/>
        </w:numPr>
        <w:tabs>
          <w:tab w:val="clear" w:pos="1890"/>
          <w:tab w:val="left" w:pos="2034"/>
        </w:tabs>
        <w:spacing w:before="120" w:after="230" w:line="240" w:lineRule="auto"/>
        <w:ind w:left="2052" w:hanging="504"/>
      </w:pPr>
      <w:r w:rsidRPr="00713BE5">
        <w:t>Sums which are paid to the state, such as taxes and duties (</w:t>
      </w:r>
      <w:r w:rsidR="008330B3">
        <w:t>49</w:t>
      </w:r>
      <w:r w:rsidRPr="00713BE5">
        <w:t>)</w:t>
      </w:r>
    </w:p>
    <w:p w14:paraId="296C1ACC" w14:textId="77777777" w:rsidR="00C74B42" w:rsidRPr="00713BE5" w:rsidRDefault="0031548F" w:rsidP="0031548F">
      <w:pPr>
        <w:tabs>
          <w:tab w:val="right" w:pos="-900"/>
          <w:tab w:val="left" w:pos="1548"/>
        </w:tabs>
        <w:spacing w:after="230" w:line="240" w:lineRule="auto"/>
        <w:ind w:left="1548" w:hanging="441"/>
      </w:pPr>
      <w:r>
        <w:t>3.</w:t>
      </w:r>
      <w:r>
        <w:tab/>
      </w:r>
      <w:r w:rsidR="00C74B42" w:rsidRPr="00713BE5">
        <w:t>When a person receives a gift or bequest it is to be added to his or her possessions and augments the total value in th</w:t>
      </w:r>
      <w:r w:rsidR="009F2D10">
        <w:t>e same way as does an excess of </w:t>
      </w:r>
      <w:r w:rsidR="00C74B42" w:rsidRPr="00713BE5">
        <w:t>annual income over expenditure (</w:t>
      </w:r>
      <w:r w:rsidR="008330B3">
        <w:t>60, 74</w:t>
      </w:r>
      <w:r w:rsidR="00C74B42" w:rsidRPr="00713BE5">
        <w:t>).</w:t>
      </w:r>
    </w:p>
    <w:p w14:paraId="334CE033" w14:textId="77777777" w:rsidR="00C74B42" w:rsidRPr="00713BE5" w:rsidRDefault="0031548F" w:rsidP="008330B3">
      <w:pPr>
        <w:tabs>
          <w:tab w:val="right" w:pos="-900"/>
          <w:tab w:val="left" w:pos="1548"/>
        </w:tabs>
        <w:spacing w:after="230" w:line="240" w:lineRule="auto"/>
        <w:ind w:left="1548" w:hanging="441"/>
      </w:pPr>
      <w:r>
        <w:t>4.</w:t>
      </w:r>
      <w:r>
        <w:tab/>
      </w:r>
      <w:r w:rsidR="00C74B42" w:rsidRPr="00713BE5">
        <w:t>If a property increases in value, Ḥuqúqu’lláh is not payable on that increase until it is realized, e.g., on the sale of the property</w:t>
      </w:r>
      <w:r w:rsidR="00A36558" w:rsidRPr="00713BE5">
        <w:t xml:space="preserve"> (6</w:t>
      </w:r>
      <w:r w:rsidR="008330B3">
        <w:t>7</w:t>
      </w:r>
      <w:r w:rsidR="00A36558" w:rsidRPr="00713BE5">
        <w:t>)</w:t>
      </w:r>
      <w:r w:rsidR="00C74B42" w:rsidRPr="00713BE5">
        <w:t>.</w:t>
      </w:r>
    </w:p>
    <w:p w14:paraId="2741C112" w14:textId="77777777" w:rsidR="00C74B42" w:rsidRPr="00713BE5" w:rsidRDefault="0031548F" w:rsidP="0031548F">
      <w:pPr>
        <w:tabs>
          <w:tab w:val="right" w:pos="-900"/>
          <w:tab w:val="left" w:pos="1548"/>
        </w:tabs>
        <w:spacing w:after="230" w:line="240" w:lineRule="auto"/>
        <w:ind w:left="1548" w:hanging="441"/>
      </w:pPr>
      <w:r>
        <w:t>5.</w:t>
      </w:r>
      <w:r>
        <w:tab/>
      </w:r>
      <w:r w:rsidR="00C74B42" w:rsidRPr="00713BE5">
        <w:t>If possessions decrease, such as through the expenses of a year exceeding the income received, Ḥuqúqu’lláh falls due again only after the loss has been made good and the total value of one’s assessable possessions is augmented (</w:t>
      </w:r>
      <w:r w:rsidR="008330B3">
        <w:t>37, 38, 41, 43, 45</w:t>
      </w:r>
      <w:r w:rsidR="00713BE5" w:rsidRPr="00713BE5">
        <w:t>–</w:t>
      </w:r>
      <w:r w:rsidR="008330B3">
        <w:t>47, 49, 60, 72</w:t>
      </w:r>
      <w:r w:rsidR="00695B2C" w:rsidRPr="00713BE5">
        <w:t>)</w:t>
      </w:r>
      <w:r w:rsidR="00C74B42" w:rsidRPr="00713BE5">
        <w:t>.</w:t>
      </w:r>
    </w:p>
    <w:p w14:paraId="2098A064" w14:textId="77777777" w:rsidR="00C74B42" w:rsidRPr="00713BE5" w:rsidRDefault="0031548F" w:rsidP="008330B3">
      <w:pPr>
        <w:tabs>
          <w:tab w:val="right" w:pos="-900"/>
          <w:tab w:val="left" w:pos="1548"/>
        </w:tabs>
        <w:spacing w:after="230" w:line="240" w:lineRule="auto"/>
        <w:ind w:left="1548" w:hanging="441"/>
      </w:pPr>
      <w:r>
        <w:t>6.</w:t>
      </w:r>
      <w:r>
        <w:tab/>
      </w:r>
      <w:r w:rsidR="00C74B42" w:rsidRPr="00713BE5">
        <w:t>The payment of debts takes precedence over the payment of Ḥuqúqu’lláh (</w:t>
      </w:r>
      <w:r w:rsidR="008330B3">
        <w:t>35</w:t>
      </w:r>
      <w:r w:rsidR="00695B2C" w:rsidRPr="00713BE5">
        <w:t>, 6</w:t>
      </w:r>
      <w:r w:rsidR="008330B3">
        <w:t>8, 71</w:t>
      </w:r>
      <w:r w:rsidR="00C74B42" w:rsidRPr="00713BE5">
        <w:t>).</w:t>
      </w:r>
    </w:p>
    <w:p w14:paraId="1A4DCF6F" w14:textId="77777777" w:rsidR="00C74B42" w:rsidRPr="00713BE5" w:rsidRDefault="0031548F" w:rsidP="0031548F">
      <w:pPr>
        <w:tabs>
          <w:tab w:val="right" w:pos="-900"/>
          <w:tab w:val="left" w:pos="1548"/>
        </w:tabs>
        <w:spacing w:after="230" w:line="240" w:lineRule="auto"/>
        <w:ind w:left="1548" w:hanging="441"/>
      </w:pPr>
      <w:r>
        <w:t>7.</w:t>
      </w:r>
      <w:r>
        <w:tab/>
      </w:r>
      <w:r w:rsidR="00C74B42" w:rsidRPr="00713BE5">
        <w:t>The payment of Ḥuqúqu’lláh is dependent on the person’s financial ability to meet his obligations (</w:t>
      </w:r>
      <w:r w:rsidR="008330B3">
        <w:t>33</w:t>
      </w:r>
      <w:r w:rsidR="00C74B42" w:rsidRPr="00713BE5">
        <w:t>).</w:t>
      </w:r>
    </w:p>
    <w:p w14:paraId="361B8428" w14:textId="77777777" w:rsidR="00C74B42" w:rsidRPr="00713BE5" w:rsidRDefault="0031548F" w:rsidP="0031548F">
      <w:pPr>
        <w:tabs>
          <w:tab w:val="right" w:pos="-900"/>
          <w:tab w:val="left" w:pos="1548"/>
        </w:tabs>
        <w:spacing w:after="230" w:line="240" w:lineRule="auto"/>
        <w:ind w:left="1548" w:hanging="441"/>
      </w:pPr>
      <w:r>
        <w:t>8.</w:t>
      </w:r>
      <w:r>
        <w:tab/>
      </w:r>
      <w:r w:rsidR="00C74B42" w:rsidRPr="00713BE5">
        <w:t xml:space="preserve">On the death of a </w:t>
      </w:r>
      <w:r w:rsidR="00EE3147">
        <w:t xml:space="preserve">believer, the completion of his or </w:t>
      </w:r>
      <w:r w:rsidR="00C74B42" w:rsidRPr="00713BE5">
        <w:t>her payment of Ḥuqúqu’lláh is accomplished in the following manner:</w:t>
      </w:r>
    </w:p>
    <w:p w14:paraId="58A9BA29" w14:textId="77777777" w:rsidR="00C74B42" w:rsidRPr="00713BE5" w:rsidRDefault="00775BFC" w:rsidP="00775BFC">
      <w:pPr>
        <w:tabs>
          <w:tab w:val="left" w:pos="2034"/>
        </w:tabs>
        <w:spacing w:before="120" w:after="230" w:line="240" w:lineRule="auto"/>
        <w:ind w:left="1530"/>
      </w:pPr>
      <w:r>
        <w:t>a)</w:t>
      </w:r>
      <w:r>
        <w:tab/>
      </w:r>
      <w:r w:rsidR="00C74B42" w:rsidRPr="00713BE5">
        <w:t>The first charge on the estate is the expense of burial (</w:t>
      </w:r>
      <w:r w:rsidR="008330B3">
        <w:t>35</w:t>
      </w:r>
      <w:r w:rsidR="00C74B42" w:rsidRPr="00713BE5">
        <w:t>).</w:t>
      </w:r>
    </w:p>
    <w:p w14:paraId="0257A99D" w14:textId="77777777" w:rsidR="00C74B42" w:rsidRPr="00713BE5" w:rsidRDefault="00775BFC" w:rsidP="008330B3">
      <w:pPr>
        <w:tabs>
          <w:tab w:val="left" w:pos="2034"/>
        </w:tabs>
        <w:spacing w:before="120" w:after="230" w:line="240" w:lineRule="auto"/>
        <w:ind w:left="1530"/>
      </w:pPr>
      <w:r>
        <w:t>b)</w:t>
      </w:r>
      <w:r>
        <w:tab/>
      </w:r>
      <w:r w:rsidR="00C74B42" w:rsidRPr="00713BE5">
        <w:t>Secondly, the debts of the deceased must be paid (</w:t>
      </w:r>
      <w:r w:rsidR="00251026" w:rsidRPr="00713BE5">
        <w:t>4</w:t>
      </w:r>
      <w:r w:rsidR="008330B3">
        <w:t>0</w:t>
      </w:r>
      <w:r w:rsidR="00C74B42" w:rsidRPr="00713BE5">
        <w:t>).</w:t>
      </w:r>
    </w:p>
    <w:p w14:paraId="7812A308" w14:textId="77777777" w:rsidR="00C118FA" w:rsidRDefault="00775BFC" w:rsidP="008330B3">
      <w:pPr>
        <w:tabs>
          <w:tab w:val="left" w:pos="2034"/>
        </w:tabs>
        <w:spacing w:before="120" w:after="230" w:line="240" w:lineRule="auto"/>
        <w:ind w:left="2034" w:hanging="504"/>
      </w:pPr>
      <w:r>
        <w:t>c)</w:t>
      </w:r>
      <w:r>
        <w:tab/>
      </w:r>
      <w:r w:rsidR="00C74B42" w:rsidRPr="00713BE5">
        <w:t xml:space="preserve">The Ḥuqúqu’lláh still </w:t>
      </w:r>
      <w:r w:rsidR="00C368F8">
        <w:t>payable</w:t>
      </w:r>
      <w:r w:rsidR="00C74B42" w:rsidRPr="00713BE5">
        <w:t xml:space="preserve"> on the pr</w:t>
      </w:r>
      <w:r w:rsidR="009F2D10">
        <w:t>operty should then be paid.  In </w:t>
      </w:r>
      <w:r w:rsidR="00C74B42" w:rsidRPr="00713BE5">
        <w:t>establishing the value of the property on which Ḥuqúq</w:t>
      </w:r>
      <w:r w:rsidR="00713BE5" w:rsidRPr="00713BE5">
        <w:t>u’lláh</w:t>
      </w:r>
      <w:r w:rsidR="009F2D10">
        <w:t xml:space="preserve"> has not </w:t>
      </w:r>
      <w:r w:rsidR="00C74B42" w:rsidRPr="00713BE5">
        <w:t xml:space="preserve">already been paid, the following are among the deductions to be </w:t>
      </w:r>
      <w:proofErr w:type="gramStart"/>
      <w:r w:rsidR="00C74B42" w:rsidRPr="00713BE5">
        <w:t>made:</w:t>
      </w:r>
      <w:proofErr w:type="gramEnd"/>
      <w:r w:rsidR="00C74B42" w:rsidRPr="00713BE5">
        <w:t xml:space="preserve">  expenses of burial (</w:t>
      </w:r>
      <w:r w:rsidR="008330B3">
        <w:t>35</w:t>
      </w:r>
      <w:r w:rsidR="00C74B42" w:rsidRPr="00713BE5">
        <w:t>), debts of the deceased (</w:t>
      </w:r>
      <w:r w:rsidR="00251026" w:rsidRPr="00713BE5">
        <w:t>4</w:t>
      </w:r>
      <w:r w:rsidR="008330B3">
        <w:t>0</w:t>
      </w:r>
      <w:r w:rsidR="009F2D10">
        <w:t>), loss of value of </w:t>
      </w:r>
      <w:r w:rsidR="00C74B42" w:rsidRPr="00713BE5">
        <w:t>the assets when realized (</w:t>
      </w:r>
      <w:r w:rsidR="008330B3">
        <w:t>55</w:t>
      </w:r>
      <w:r w:rsidR="00713BE5" w:rsidRPr="00713BE5">
        <w:t>)</w:t>
      </w:r>
      <w:r w:rsidR="00C74B42" w:rsidRPr="00713BE5">
        <w:t xml:space="preserve"> </w:t>
      </w:r>
      <w:r w:rsidR="00251026" w:rsidRPr="00713BE5">
        <w:t xml:space="preserve">and </w:t>
      </w:r>
      <w:r w:rsidR="00C74B42" w:rsidRPr="00713BE5">
        <w:t>expenses incurred in realizing the assets (</w:t>
      </w:r>
      <w:r w:rsidR="008330B3">
        <w:t>55</w:t>
      </w:r>
      <w:r w:rsidR="00C74B42" w:rsidRPr="00713BE5">
        <w:t>)</w:t>
      </w:r>
      <w:r w:rsidR="00251026" w:rsidRPr="00713BE5">
        <w:t>.  The principal residence</w:t>
      </w:r>
      <w:r w:rsidR="00907F57" w:rsidRPr="00713BE5">
        <w:t xml:space="preserve"> as well as items such as necessary furnishings and tools of trade</w:t>
      </w:r>
      <w:r w:rsidR="00251026" w:rsidRPr="00713BE5">
        <w:t xml:space="preserve"> </w:t>
      </w:r>
      <w:r w:rsidR="00907F57" w:rsidRPr="00713BE5">
        <w:t>remain</w:t>
      </w:r>
      <w:r w:rsidR="008330B3">
        <w:t xml:space="preserve"> exempt (79</w:t>
      </w:r>
      <w:r w:rsidR="00251026" w:rsidRPr="00713BE5">
        <w:t>).</w:t>
      </w:r>
    </w:p>
    <w:p w14:paraId="7E05502F" w14:textId="77777777" w:rsidR="00C74B42" w:rsidRPr="00713BE5" w:rsidRDefault="00C74B42" w:rsidP="008A0F78">
      <w:pPr>
        <w:pStyle w:val="BWCBullet"/>
        <w:numPr>
          <w:ilvl w:val="0"/>
          <w:numId w:val="4"/>
        </w:numPr>
        <w:tabs>
          <w:tab w:val="clear" w:pos="360"/>
          <w:tab w:val="num" w:pos="1098"/>
        </w:tabs>
        <w:spacing w:after="230" w:line="240" w:lineRule="auto"/>
        <w:ind w:left="1116" w:hanging="540"/>
      </w:pPr>
      <w:r w:rsidRPr="00713BE5">
        <w:t>Further notes on determining Ḥuqúqu’lláh:</w:t>
      </w:r>
    </w:p>
    <w:p w14:paraId="2CE20998" w14:textId="77777777" w:rsidR="00952E67" w:rsidRPr="00713BE5" w:rsidRDefault="00775BFC" w:rsidP="00775BFC">
      <w:pPr>
        <w:tabs>
          <w:tab w:val="right" w:pos="-900"/>
          <w:tab w:val="left" w:pos="1548"/>
        </w:tabs>
        <w:spacing w:after="230" w:line="240" w:lineRule="auto"/>
        <w:ind w:left="1548" w:hanging="441"/>
      </w:pPr>
      <w:r>
        <w:t>1.</w:t>
      </w:r>
      <w:r>
        <w:tab/>
      </w:r>
      <w:r w:rsidR="00952E67" w:rsidRPr="00713BE5">
        <w:t>Each believer should learn not only how to calculate Ḥuqúqu’lláh durin</w:t>
      </w:r>
      <w:r w:rsidR="00EE3147">
        <w:t>g the course of his or her life</w:t>
      </w:r>
      <w:r w:rsidR="00952E67" w:rsidRPr="00713BE5">
        <w:t xml:space="preserve"> but also how to provide for the payment of the balance re</w:t>
      </w:r>
      <w:r w:rsidR="008330B3">
        <w:t>maining at the date of death (65, 68</w:t>
      </w:r>
      <w:r w:rsidR="00952E67" w:rsidRPr="00713BE5">
        <w:t>).</w:t>
      </w:r>
    </w:p>
    <w:p w14:paraId="7696E30F" w14:textId="77777777" w:rsidR="00952E67" w:rsidRPr="00713BE5" w:rsidRDefault="00775BFC" w:rsidP="00775BFC">
      <w:pPr>
        <w:tabs>
          <w:tab w:val="right" w:pos="-900"/>
          <w:tab w:val="left" w:pos="1548"/>
        </w:tabs>
        <w:spacing w:after="230" w:line="240" w:lineRule="auto"/>
        <w:ind w:left="1548" w:hanging="441"/>
      </w:pPr>
      <w:r>
        <w:t>2.</w:t>
      </w:r>
      <w:r>
        <w:tab/>
      </w:r>
      <w:r w:rsidR="00952E67" w:rsidRPr="00713BE5">
        <w:t xml:space="preserve">Although the law provides a certain leeway </w:t>
      </w:r>
      <w:r w:rsidR="009F2D10">
        <w:t>in the timing of the payment of </w:t>
      </w:r>
      <w:r w:rsidR="00952E67" w:rsidRPr="00713BE5">
        <w:t xml:space="preserve">Ḥuqúqu’lláh, it should preferably be paid by a believer </w:t>
      </w:r>
      <w:r w:rsidR="009F2D10">
        <w:t>during the course of his </w:t>
      </w:r>
      <w:r w:rsidR="00C118FA">
        <w:t>or her </w:t>
      </w:r>
      <w:r w:rsidR="008330B3">
        <w:t>life whenever it falls due (73</w:t>
      </w:r>
      <w:r w:rsidR="00952E67" w:rsidRPr="00713BE5">
        <w:t>)</w:t>
      </w:r>
      <w:r w:rsidR="00C368F8">
        <w:t>; in this case</w:t>
      </w:r>
      <w:r w:rsidR="00952E67" w:rsidRPr="00713BE5">
        <w:t xml:space="preserve"> the only paym</w:t>
      </w:r>
      <w:r w:rsidR="00C118FA">
        <w:t xml:space="preserve">ent to </w:t>
      </w:r>
      <w:r w:rsidR="00C118FA">
        <w:lastRenderedPageBreak/>
        <w:t>Ḥuqúqu’lláh which should </w:t>
      </w:r>
      <w:r w:rsidR="00952E67" w:rsidRPr="00713BE5">
        <w:t xml:space="preserve">be provided for by </w:t>
      </w:r>
      <w:r w:rsidR="00C368F8">
        <w:t xml:space="preserve">the </w:t>
      </w:r>
      <w:r w:rsidR="00952E67" w:rsidRPr="00713BE5">
        <w:t>will is such addition</w:t>
      </w:r>
      <w:r w:rsidR="00C118FA">
        <w:t>al liability as may be found to </w:t>
      </w:r>
      <w:r w:rsidR="00952E67" w:rsidRPr="00713BE5">
        <w:t xml:space="preserve">exist when the believer’s </w:t>
      </w:r>
      <w:r w:rsidR="00C368F8">
        <w:t xml:space="preserve">financial </w:t>
      </w:r>
      <w:r w:rsidR="00952E67" w:rsidRPr="00713BE5">
        <w:t xml:space="preserve">affairs are </w:t>
      </w:r>
      <w:r w:rsidR="00C368F8">
        <w:t xml:space="preserve">determined </w:t>
      </w:r>
      <w:r w:rsidR="008330B3">
        <w:t>at the date of death (65</w:t>
      </w:r>
      <w:r w:rsidR="00952E67" w:rsidRPr="00713BE5">
        <w:t>).</w:t>
      </w:r>
    </w:p>
    <w:p w14:paraId="1591A44C" w14:textId="77777777" w:rsidR="00952E67" w:rsidRPr="00713BE5" w:rsidRDefault="00775BFC" w:rsidP="00775BFC">
      <w:pPr>
        <w:tabs>
          <w:tab w:val="right" w:pos="-900"/>
          <w:tab w:val="left" w:pos="1548"/>
        </w:tabs>
        <w:spacing w:after="230" w:line="240" w:lineRule="auto"/>
        <w:ind w:left="1548" w:hanging="441"/>
      </w:pPr>
      <w:r>
        <w:t>3.</w:t>
      </w:r>
      <w:r>
        <w:tab/>
      </w:r>
      <w:r w:rsidR="00952E67" w:rsidRPr="00713BE5">
        <w:t>One believer cannot discharge the obligation of</w:t>
      </w:r>
      <w:r w:rsidR="009F2D10">
        <w:t xml:space="preserve"> another to pay Ḥuqúqu’lláh nor </w:t>
      </w:r>
      <w:r w:rsidR="00952E67" w:rsidRPr="00713BE5">
        <w:t>can a payment to Ḥuqúqu’lláh be earmarke</w:t>
      </w:r>
      <w:r w:rsidR="009F2D10">
        <w:t>d for any purpose or be made in </w:t>
      </w:r>
      <w:r w:rsidR="00952E67" w:rsidRPr="00713BE5">
        <w:t>hono</w:t>
      </w:r>
      <w:r w:rsidR="00713BE5" w:rsidRPr="00713BE5">
        <w:t>u</w:t>
      </w:r>
      <w:r w:rsidR="008330B3">
        <w:t>r of anyone (64, 80</w:t>
      </w:r>
      <w:r w:rsidR="00952E67" w:rsidRPr="00713BE5">
        <w:t>).</w:t>
      </w:r>
    </w:p>
    <w:p w14:paraId="0F58B62E" w14:textId="77777777" w:rsidR="00952E67" w:rsidRPr="00713BE5" w:rsidRDefault="00775BFC" w:rsidP="00775BFC">
      <w:pPr>
        <w:tabs>
          <w:tab w:val="right" w:pos="-900"/>
          <w:tab w:val="left" w:pos="1548"/>
        </w:tabs>
        <w:spacing w:after="230" w:line="240" w:lineRule="auto"/>
        <w:ind w:left="1548" w:hanging="441"/>
      </w:pPr>
      <w:r>
        <w:t>4.</w:t>
      </w:r>
      <w:r>
        <w:tab/>
      </w:r>
      <w:r w:rsidR="00952E67" w:rsidRPr="00713BE5">
        <w:t>The law of Ḥuqúqu’lláh imposes an obligation on</w:t>
      </w:r>
      <w:r w:rsidR="009F2D10">
        <w:t>ly on individual believers, not </w:t>
      </w:r>
      <w:r w:rsidR="00952E67" w:rsidRPr="00713BE5">
        <w:t>on Bahá’í inst</w:t>
      </w:r>
      <w:r w:rsidR="008330B3">
        <w:t>itutions or corporate bodies (76</w:t>
      </w:r>
      <w:r w:rsidR="00952E67" w:rsidRPr="00713BE5">
        <w:t>).</w:t>
      </w:r>
    </w:p>
    <w:p w14:paraId="5951A986" w14:textId="77777777" w:rsidR="00C74B42" w:rsidRPr="00713BE5" w:rsidRDefault="00775BFC" w:rsidP="008330B3">
      <w:pPr>
        <w:tabs>
          <w:tab w:val="right" w:pos="-900"/>
          <w:tab w:val="left" w:pos="1548"/>
        </w:tabs>
        <w:spacing w:after="230" w:line="240" w:lineRule="auto"/>
        <w:ind w:left="1548" w:hanging="441"/>
      </w:pPr>
      <w:r>
        <w:t>5.</w:t>
      </w:r>
      <w:r>
        <w:tab/>
      </w:r>
      <w:r w:rsidR="00C74B42" w:rsidRPr="00713BE5">
        <w:t>It is left to the individual to decide which expenses are to be regarded as “necessary” and therefore deductible in computing the annual accretion to savings and which furnishings of the household are to be regarded as “needful” and therefore exempt from the payment of Ḥuqúqu’lláh (</w:t>
      </w:r>
      <w:r w:rsidR="008330B3">
        <w:t>19, 45, 46, 48</w:t>
      </w:r>
      <w:r w:rsidR="00713BE5">
        <w:t>–5</w:t>
      </w:r>
      <w:r w:rsidR="008330B3">
        <w:t>0</w:t>
      </w:r>
      <w:r w:rsidR="00713BE5">
        <w:t>, 5</w:t>
      </w:r>
      <w:r w:rsidR="008330B3">
        <w:t>6</w:t>
      </w:r>
      <w:r w:rsidR="00713BE5">
        <w:t>–</w:t>
      </w:r>
      <w:r w:rsidR="00952E67" w:rsidRPr="00713BE5">
        <w:t>5</w:t>
      </w:r>
      <w:r w:rsidR="008330B3">
        <w:t>8, 61, 70</w:t>
      </w:r>
      <w:r w:rsidR="00C74B42" w:rsidRPr="00713BE5">
        <w:t>).</w:t>
      </w:r>
    </w:p>
    <w:p w14:paraId="2CE156F8" w14:textId="77777777" w:rsidR="00C74B42" w:rsidRPr="00713BE5" w:rsidRDefault="00775BFC" w:rsidP="008330B3">
      <w:pPr>
        <w:tabs>
          <w:tab w:val="right" w:pos="-900"/>
          <w:tab w:val="left" w:pos="1548"/>
        </w:tabs>
        <w:spacing w:after="230" w:line="240" w:lineRule="auto"/>
        <w:ind w:left="1548" w:hanging="441"/>
      </w:pPr>
      <w:r>
        <w:t>6.</w:t>
      </w:r>
      <w:r>
        <w:tab/>
      </w:r>
      <w:r w:rsidR="00C74B42" w:rsidRPr="00713BE5">
        <w:t>Although references are made to annual payments of Ḥuqúqu’lláh, the time and method of payment are left to the discretion of the individual believer</w:t>
      </w:r>
      <w:r w:rsidR="008330B3">
        <w:t xml:space="preserve"> (69</w:t>
      </w:r>
      <w:r w:rsidR="00952E67" w:rsidRPr="00713BE5">
        <w:t>, 7</w:t>
      </w:r>
      <w:r w:rsidR="008330B3">
        <w:t>2, 78</w:t>
      </w:r>
      <w:r w:rsidR="00952E67" w:rsidRPr="00713BE5">
        <w:t>)</w:t>
      </w:r>
      <w:r w:rsidR="00C74B42" w:rsidRPr="00713BE5">
        <w:t xml:space="preserve">.  There is, therefore, no obligation to liquidate one’s assets in haste in order to </w:t>
      </w:r>
      <w:r w:rsidR="00481F40" w:rsidRPr="00713BE5">
        <w:t>fulfil</w:t>
      </w:r>
      <w:r w:rsidR="00C74B42" w:rsidRPr="00713BE5">
        <w:t xml:space="preserve"> one’s current obligations to Ḥuqúqu’lláh (</w:t>
      </w:r>
      <w:r w:rsidR="008330B3">
        <w:t>55</w:t>
      </w:r>
      <w:r w:rsidR="00C74B42" w:rsidRPr="00713BE5">
        <w:t>).</w:t>
      </w:r>
    </w:p>
    <w:p w14:paraId="5BD2210A" w14:textId="77777777" w:rsidR="00C74B42" w:rsidRPr="00713BE5" w:rsidRDefault="00775BFC" w:rsidP="0014450D">
      <w:pPr>
        <w:tabs>
          <w:tab w:val="right" w:pos="-900"/>
          <w:tab w:val="left" w:pos="1548"/>
        </w:tabs>
        <w:spacing w:after="230" w:line="240" w:lineRule="auto"/>
        <w:ind w:left="1548" w:hanging="441"/>
      </w:pPr>
      <w:r>
        <w:t>7.</w:t>
      </w:r>
      <w:r>
        <w:tab/>
      </w:r>
      <w:r w:rsidR="00C74B42" w:rsidRPr="00713BE5">
        <w:t xml:space="preserve">Husband and wife are free to decide whether they want to </w:t>
      </w:r>
      <w:r w:rsidR="00481F40" w:rsidRPr="00713BE5">
        <w:t>honour</w:t>
      </w:r>
      <w:r w:rsidR="00C74B42" w:rsidRPr="00713BE5">
        <w:t xml:space="preserve"> their Ḥuqúqu’lláh obligations jointly or individually (</w:t>
      </w:r>
      <w:r w:rsidR="008330B3">
        <w:t>59</w:t>
      </w:r>
      <w:r w:rsidR="00952E67" w:rsidRPr="00713BE5">
        <w:t>, 7</w:t>
      </w:r>
      <w:r w:rsidR="008330B3">
        <w:t>1</w:t>
      </w:r>
      <w:r w:rsidR="00952E67" w:rsidRPr="00713BE5">
        <w:t>, 7</w:t>
      </w:r>
      <w:r w:rsidR="0014450D">
        <w:t>4</w:t>
      </w:r>
      <w:r w:rsidR="00C74B42" w:rsidRPr="00713BE5">
        <w:t>).</w:t>
      </w:r>
    </w:p>
    <w:p w14:paraId="274A5846" w14:textId="77777777" w:rsidR="00C74B42" w:rsidRPr="00713BE5" w:rsidRDefault="00775BFC" w:rsidP="00775BFC">
      <w:pPr>
        <w:tabs>
          <w:tab w:val="right" w:pos="-900"/>
          <w:tab w:val="left" w:pos="1548"/>
        </w:tabs>
        <w:spacing w:after="230" w:line="240" w:lineRule="auto"/>
        <w:ind w:left="1548" w:hanging="441"/>
      </w:pPr>
      <w:r>
        <w:t>8.</w:t>
      </w:r>
      <w:r>
        <w:tab/>
      </w:r>
      <w:r w:rsidR="00C74B42" w:rsidRPr="00713BE5">
        <w:t xml:space="preserve">The account of Ḥuqúqu’lláh should be kept separate from other contributions inasmuch as the disposition of the funds of the Ḥuqúqu’lláh is subject to decision by the Central Authority in the Cause to which all must turn, whereas the purposes of the contributions to other </w:t>
      </w:r>
      <w:r w:rsidR="00713BE5">
        <w:t>f</w:t>
      </w:r>
      <w:r w:rsidR="00C74B42" w:rsidRPr="00713BE5">
        <w:t>unds may be determined by the donors themselves.</w:t>
      </w:r>
    </w:p>
    <w:p w14:paraId="6A292E86" w14:textId="77777777" w:rsidR="00952E67" w:rsidRDefault="00775BFC" w:rsidP="0014450D">
      <w:pPr>
        <w:tabs>
          <w:tab w:val="right" w:pos="-900"/>
          <w:tab w:val="left" w:pos="1548"/>
        </w:tabs>
        <w:spacing w:after="230" w:line="240" w:lineRule="auto"/>
        <w:ind w:left="1548" w:hanging="441"/>
      </w:pPr>
      <w:r>
        <w:t>9.</w:t>
      </w:r>
      <w:r>
        <w:tab/>
      </w:r>
      <w:r w:rsidR="00C74B42" w:rsidRPr="00713BE5">
        <w:t xml:space="preserve">Payment of </w:t>
      </w:r>
      <w:r w:rsidR="00C74B42" w:rsidRPr="00481F40">
        <w:t>Ḥuqúqu’l</w:t>
      </w:r>
      <w:r w:rsidR="00C74B42" w:rsidRPr="00713BE5">
        <w:t>láh has priority over</w:t>
      </w:r>
      <w:r w:rsidR="00713BE5">
        <w:t xml:space="preserve"> making contributions to other f</w:t>
      </w:r>
      <w:r w:rsidR="009F2D10">
        <w:t>unds </w:t>
      </w:r>
      <w:r w:rsidR="00C74B42" w:rsidRPr="00713BE5">
        <w:t>of the Faith (</w:t>
      </w:r>
      <w:r w:rsidR="0014450D">
        <w:t>49, 54, 57</w:t>
      </w:r>
      <w:r w:rsidR="00C74B42" w:rsidRPr="00713BE5">
        <w:t>), as well as over the cost of pilgrimage (</w:t>
      </w:r>
      <w:r w:rsidR="00952E67" w:rsidRPr="00713BE5">
        <w:t>2</w:t>
      </w:r>
      <w:r w:rsidR="009F2D10">
        <w:t>).  It is, </w:t>
      </w:r>
      <w:r w:rsidR="00C74B42" w:rsidRPr="00713BE5">
        <w:t xml:space="preserve">however, left to the discretion of the believer whether or not to treat contributions to the </w:t>
      </w:r>
      <w:r w:rsidR="003F6DD5">
        <w:t>f</w:t>
      </w:r>
      <w:r w:rsidR="00C74B42" w:rsidRPr="00713BE5">
        <w:t>und as an expense when arri</w:t>
      </w:r>
      <w:r w:rsidR="009F2D10">
        <w:t>ving at the value of his or her </w:t>
      </w:r>
      <w:r w:rsidR="00C74B42" w:rsidRPr="00713BE5">
        <w:t xml:space="preserve">property in calculating the sum </w:t>
      </w:r>
      <w:r w:rsidR="00952E67" w:rsidRPr="00713BE5">
        <w:t xml:space="preserve">to be paid as </w:t>
      </w:r>
      <w:r w:rsidR="00952E67" w:rsidRPr="00481F40">
        <w:t>Ḥuqúqu’lláh (5</w:t>
      </w:r>
      <w:r w:rsidR="0014450D">
        <w:t>7</w:t>
      </w:r>
      <w:r w:rsidR="00C74B42" w:rsidRPr="00713BE5">
        <w:t>)</w:t>
      </w:r>
      <w:r w:rsidR="00526498" w:rsidRPr="00713BE5">
        <w:t xml:space="preserve"> or to make contributions </w:t>
      </w:r>
      <w:r w:rsidR="00952E67" w:rsidRPr="00713BE5">
        <w:t xml:space="preserve">only out of money on which </w:t>
      </w:r>
      <w:r w:rsidR="00952E67" w:rsidRPr="00481F40">
        <w:t>Ḥuqúqu’lláh has been paid</w:t>
      </w:r>
      <w:r w:rsidR="0014450D">
        <w:t xml:space="preserve"> (62</w:t>
      </w:r>
      <w:r w:rsidR="003564A3" w:rsidRPr="00713BE5">
        <w:t>)</w:t>
      </w:r>
      <w:r w:rsidR="009F2D10">
        <w:t>.  He </w:t>
      </w:r>
      <w:r w:rsidR="00952E67" w:rsidRPr="00713BE5">
        <w:t>or she also has the discretion to treat some contributions in o</w:t>
      </w:r>
      <w:r w:rsidR="0014450D">
        <w:t>ne way and some in the other (62</w:t>
      </w:r>
      <w:r w:rsidR="00952E67" w:rsidRPr="00713BE5">
        <w:t>).</w:t>
      </w:r>
    </w:p>
    <w:p w14:paraId="48EAB441" w14:textId="77777777" w:rsidR="00C118FA" w:rsidRDefault="00C118FA" w:rsidP="00C74B42"/>
    <w:p w14:paraId="6F11F8D4" w14:textId="77777777" w:rsidR="00C118FA" w:rsidRDefault="00C118FA" w:rsidP="00C74B42"/>
    <w:p w14:paraId="1F83C757" w14:textId="77777777" w:rsidR="00A508F6" w:rsidRPr="00713BE5" w:rsidRDefault="00A508F6" w:rsidP="00775BFC">
      <w:pPr>
        <w:pStyle w:val="Heading1"/>
        <w:tabs>
          <w:tab w:val="clear" w:pos="810"/>
          <w:tab w:val="num" w:pos="567"/>
        </w:tabs>
        <w:ind w:left="567" w:hanging="585"/>
      </w:pPr>
      <w:r w:rsidRPr="00713BE5">
        <w:t>Applicability of the Law of Ḥuqúqu’lláh</w:t>
      </w:r>
    </w:p>
    <w:p w14:paraId="1D8324DB" w14:textId="77777777" w:rsidR="00C74B42" w:rsidRPr="00713BE5" w:rsidRDefault="00C74B42" w:rsidP="00CE43E5">
      <w:pPr>
        <w:pStyle w:val="BWCBodyText"/>
      </w:pPr>
    </w:p>
    <w:p w14:paraId="4B29ADA4" w14:textId="77777777" w:rsidR="00C74B42" w:rsidRPr="00713BE5" w:rsidRDefault="00C74B42" w:rsidP="00CE43E5">
      <w:pPr>
        <w:pStyle w:val="BWCBodyText"/>
      </w:pPr>
      <w:r w:rsidRPr="00713BE5">
        <w:t>For many decades the sacred law of Ḥuqúqu’lláh had been app</w:t>
      </w:r>
      <w:r w:rsidR="003F6DD5">
        <w:t xml:space="preserve">lied only to the believers from </w:t>
      </w:r>
      <w:r w:rsidRPr="00713BE5">
        <w:t xml:space="preserve">the </w:t>
      </w:r>
      <w:smartTag w:uri="urn:schemas-microsoft-com:office:smarttags" w:element="country-region">
        <w:r w:rsidRPr="00713BE5">
          <w:t>Middle East</w:t>
        </w:r>
      </w:smartTag>
      <w:r w:rsidRPr="00713BE5">
        <w:t>.  The worldwide application was instituted by the House of Justice</w:t>
      </w:r>
      <w:r w:rsidR="00C118FA">
        <w:t xml:space="preserve"> as</w:t>
      </w:r>
      <w:r w:rsidR="003F6DD5">
        <w:t xml:space="preserve"> </w:t>
      </w:r>
      <w:r w:rsidRPr="00713BE5">
        <w:t>from Riḍván 1992, the beginning of the Holy Year marking the hundredth anniversary of the Ascension of Bahá’u’lláh</w:t>
      </w:r>
      <w:r w:rsidR="0014450D">
        <w:t xml:space="preserve"> (28</w:t>
      </w:r>
      <w:r w:rsidR="00656C1B" w:rsidRPr="00713BE5">
        <w:t>)</w:t>
      </w:r>
      <w:r w:rsidRPr="00713BE5">
        <w:t>.</w:t>
      </w:r>
    </w:p>
    <w:p w14:paraId="18F73C61" w14:textId="77777777" w:rsidR="00C74B42" w:rsidRDefault="00C74B42" w:rsidP="00CE43E5">
      <w:pPr>
        <w:pStyle w:val="BWCBodyText"/>
      </w:pPr>
    </w:p>
    <w:p w14:paraId="5FD419DF" w14:textId="77777777" w:rsidR="00B5701E" w:rsidRPr="00713BE5" w:rsidRDefault="00B5701E" w:rsidP="00CE43E5">
      <w:pPr>
        <w:pStyle w:val="BWCBodyText"/>
      </w:pPr>
    </w:p>
    <w:p w14:paraId="66F16889" w14:textId="77777777" w:rsidR="00C74B42" w:rsidRPr="00713BE5" w:rsidRDefault="00B5701E" w:rsidP="00775BFC">
      <w:pPr>
        <w:pStyle w:val="Heading1"/>
        <w:tabs>
          <w:tab w:val="clear" w:pos="810"/>
          <w:tab w:val="num" w:pos="567"/>
        </w:tabs>
        <w:ind w:left="567" w:hanging="585"/>
      </w:pPr>
      <w:r>
        <w:br w:type="page"/>
      </w:r>
      <w:r w:rsidR="00C74B42" w:rsidRPr="00713BE5">
        <w:lastRenderedPageBreak/>
        <w:t>Payment of Ḥuqúqu’lláh</w:t>
      </w:r>
    </w:p>
    <w:p w14:paraId="56443885" w14:textId="77777777" w:rsidR="00C74B42" w:rsidRPr="00713BE5" w:rsidRDefault="00C74B42" w:rsidP="00C74B42"/>
    <w:p w14:paraId="12391D9C" w14:textId="77777777" w:rsidR="00A21E20" w:rsidRPr="00713BE5" w:rsidRDefault="00C368F8" w:rsidP="0014450D">
      <w:pPr>
        <w:pStyle w:val="BWCBodyText"/>
        <w:ind w:right="-19"/>
      </w:pPr>
      <w:r>
        <w:t>Until the passing of the Hand of the Cause of God appoint</w:t>
      </w:r>
      <w:r w:rsidR="00995FFE">
        <w:t>ed to act as Chief Trustee, the </w:t>
      </w:r>
      <w:r w:rsidRPr="00713BE5">
        <w:t>Ḥuqúqu’lláh</w:t>
      </w:r>
      <w:r>
        <w:t xml:space="preserve"> was paid</w:t>
      </w:r>
      <w:r w:rsidR="00C74B42" w:rsidRPr="00713BE5">
        <w:t xml:space="preserve"> to the Trustee of Ḥuqúqu’lláh, </w:t>
      </w:r>
      <w:r w:rsidR="00395D5D" w:rsidRPr="00713BE5">
        <w:t>the</w:t>
      </w:r>
      <w:r w:rsidR="00C74B42" w:rsidRPr="00713BE5">
        <w:t xml:space="preserve"> Deputies or their appointed Representatives (</w:t>
      </w:r>
      <w:r w:rsidR="0014450D">
        <w:t>85, 87, 102</w:t>
      </w:r>
      <w:r w:rsidR="00C74B42" w:rsidRPr="00713BE5">
        <w:t xml:space="preserve">).  </w:t>
      </w:r>
      <w:r w:rsidR="00995FFE">
        <w:t>The body of the International Board of Trustees of Ḥuqúqu’lláh</w:t>
      </w:r>
      <w:r w:rsidR="00995FFE">
        <w:rPr>
          <w:rFonts w:ascii="Arial" w:hAnsi="Arial" w:cs="Arial"/>
          <w:color w:val="000080"/>
          <w:sz w:val="20"/>
        </w:rPr>
        <w:t>,</w:t>
      </w:r>
      <w:r w:rsidR="009F2D10">
        <w:rPr>
          <w:rFonts w:ascii="Arial" w:hAnsi="Arial" w:cs="Arial"/>
          <w:color w:val="000080"/>
          <w:sz w:val="20"/>
        </w:rPr>
        <w:t xml:space="preserve"> </w:t>
      </w:r>
      <w:r w:rsidR="00995FFE">
        <w:t>appointed by the House of Justice, acts in place of the Chief Trustee</w:t>
      </w:r>
      <w:r w:rsidR="00A21E20" w:rsidRPr="00713BE5">
        <w:t xml:space="preserve"> (10</w:t>
      </w:r>
      <w:r w:rsidR="0014450D">
        <w:t>0</w:t>
      </w:r>
      <w:r w:rsidR="009F2D10">
        <w:t>, 10</w:t>
      </w:r>
      <w:r w:rsidR="0014450D">
        <w:t xml:space="preserve">1, </w:t>
      </w:r>
      <w:r w:rsidR="00A21E20" w:rsidRPr="00713BE5">
        <w:t>10</w:t>
      </w:r>
      <w:r w:rsidR="0014450D">
        <w:t>3</w:t>
      </w:r>
      <w:r w:rsidR="00A21E20" w:rsidRPr="00713BE5">
        <w:t>)</w:t>
      </w:r>
      <w:r w:rsidR="00753899" w:rsidRPr="00713BE5">
        <w:t xml:space="preserve">.  </w:t>
      </w:r>
      <w:r w:rsidR="00CE43E5">
        <w:t xml:space="preserve">This </w:t>
      </w:r>
      <w:r w:rsidR="00395D5D" w:rsidRPr="00713BE5">
        <w:t>I</w:t>
      </w:r>
      <w:r w:rsidR="00A21E20" w:rsidRPr="00713BE5">
        <w:t xml:space="preserve">nstitution </w:t>
      </w:r>
      <w:r w:rsidR="00C118FA">
        <w:t>appoints the members of the </w:t>
      </w:r>
      <w:r w:rsidR="003564A3" w:rsidRPr="00713BE5">
        <w:t>Regional and Nation</w:t>
      </w:r>
      <w:r w:rsidR="00713BE5">
        <w:t>al</w:t>
      </w:r>
      <w:r w:rsidR="009F2D10">
        <w:t xml:space="preserve"> Boards of </w:t>
      </w:r>
      <w:r w:rsidR="003564A3" w:rsidRPr="00713BE5">
        <w:t xml:space="preserve">Trustees and </w:t>
      </w:r>
      <w:r w:rsidR="00A21E20" w:rsidRPr="00713BE5">
        <w:t>supervises the work of the Deputies and Representatives</w:t>
      </w:r>
      <w:r w:rsidR="00395D5D" w:rsidRPr="00713BE5">
        <w:t>.  It utili</w:t>
      </w:r>
      <w:r w:rsidR="00A21E20" w:rsidRPr="00713BE5">
        <w:t>ze</w:t>
      </w:r>
      <w:r w:rsidR="009F2D10">
        <w:t>s the services </w:t>
      </w:r>
      <w:r w:rsidR="00CE43E5">
        <w:t>of the Office of</w:t>
      </w:r>
      <w:r w:rsidR="009F2D10">
        <w:t> </w:t>
      </w:r>
      <w:r w:rsidR="00A21E20" w:rsidRPr="00713BE5">
        <w:t xml:space="preserve">Ḥuqúqu’lláh at the </w:t>
      </w:r>
      <w:r w:rsidR="003F6DD5">
        <w:t>Bahá’í World Centre </w:t>
      </w:r>
      <w:r w:rsidR="00E119EB" w:rsidRPr="00713BE5">
        <w:t xml:space="preserve">in </w:t>
      </w:r>
      <w:r w:rsidR="00A21E20" w:rsidRPr="00713BE5">
        <w:t xml:space="preserve">performing </w:t>
      </w:r>
      <w:r w:rsidR="00E119EB" w:rsidRPr="00713BE5">
        <w:t>such</w:t>
      </w:r>
      <w:r w:rsidR="009F2D10">
        <w:t xml:space="preserve"> functions </w:t>
      </w:r>
      <w:r w:rsidR="00E119EB" w:rsidRPr="00713BE5">
        <w:t xml:space="preserve">as issuing receipts </w:t>
      </w:r>
      <w:r w:rsidR="0014450D">
        <w:t>(101</w:t>
      </w:r>
      <w:r w:rsidR="00A21E20" w:rsidRPr="00713BE5">
        <w:t>)</w:t>
      </w:r>
      <w:r w:rsidR="00395D5D" w:rsidRPr="00713BE5">
        <w:t>.</w:t>
      </w:r>
    </w:p>
    <w:p w14:paraId="3431B49A" w14:textId="77777777" w:rsidR="00C74B42" w:rsidRPr="00713BE5" w:rsidRDefault="00C74B42" w:rsidP="00CE43E5">
      <w:pPr>
        <w:pStyle w:val="BWCBodyText"/>
      </w:pPr>
    </w:p>
    <w:p w14:paraId="71EA43FF" w14:textId="77777777" w:rsidR="00C74B42" w:rsidRPr="00713BE5" w:rsidRDefault="00C74B42" w:rsidP="00CE43E5">
      <w:pPr>
        <w:pStyle w:val="BWCBodyText"/>
      </w:pPr>
    </w:p>
    <w:p w14:paraId="433F757D" w14:textId="77777777" w:rsidR="00C74B42" w:rsidRPr="00713BE5" w:rsidRDefault="00C74B42" w:rsidP="00775BFC">
      <w:pPr>
        <w:pStyle w:val="Heading1"/>
        <w:tabs>
          <w:tab w:val="clear" w:pos="810"/>
          <w:tab w:val="num" w:pos="567"/>
        </w:tabs>
        <w:ind w:left="567" w:hanging="585"/>
      </w:pPr>
      <w:r w:rsidRPr="00713BE5">
        <w:t>Management of Ḥuqúqu’lláh</w:t>
      </w:r>
    </w:p>
    <w:p w14:paraId="748B0CF5" w14:textId="77777777" w:rsidR="00C74B42" w:rsidRPr="00713BE5" w:rsidRDefault="00C74B42" w:rsidP="00C74B42"/>
    <w:p w14:paraId="157CF6F6" w14:textId="77777777" w:rsidR="00C74B42" w:rsidRDefault="00C74B42" w:rsidP="00CE43E5">
      <w:pPr>
        <w:pStyle w:val="BWCBodyText"/>
      </w:pPr>
      <w:r w:rsidRPr="00713BE5">
        <w:t>Decisions on the necessary ordinances concerning Ḥuqúqu’lláh (</w:t>
      </w:r>
      <w:r w:rsidR="0014450D">
        <w:t>51, 54</w:t>
      </w:r>
      <w:r w:rsidR="00E119EB" w:rsidRPr="00713BE5">
        <w:t>)</w:t>
      </w:r>
      <w:r w:rsidR="00CE43E5">
        <w:t>, as well as on </w:t>
      </w:r>
      <w:r w:rsidR="00C118FA">
        <w:t>its </w:t>
      </w:r>
      <w:r w:rsidRPr="00713BE5">
        <w:t>disposition, lie within the sole jurisdiction of the Central Authority in the Cause.  The Ḥuqúqu’lláh can be employed for charitable purposes (</w:t>
      </w:r>
      <w:r w:rsidR="0014450D">
        <w:t>24, 25, 45</w:t>
      </w:r>
      <w:r w:rsidR="00713BE5">
        <w:t>)</w:t>
      </w:r>
      <w:r w:rsidR="00C118FA">
        <w:t xml:space="preserve"> or for other purposes useful </w:t>
      </w:r>
      <w:r w:rsidRPr="00713BE5">
        <w:t>to the Cause of God (</w:t>
      </w:r>
      <w:r w:rsidR="0014450D">
        <w:t>109, 110, 112</w:t>
      </w:r>
      <w:r w:rsidRPr="00713BE5">
        <w:t>).</w:t>
      </w:r>
    </w:p>
    <w:p w14:paraId="761AFAD4" w14:textId="77777777" w:rsidR="000C37C7" w:rsidRDefault="000C37C7" w:rsidP="00A17374">
      <w:pPr>
        <w:pStyle w:val="BWCZLogStamp"/>
      </w:pPr>
    </w:p>
    <w:p w14:paraId="04159174" w14:textId="77777777" w:rsidR="00D763A4" w:rsidRDefault="00D763A4" w:rsidP="00A17374">
      <w:pPr>
        <w:pStyle w:val="BWCZLogStamp"/>
      </w:pPr>
    </w:p>
    <w:p w14:paraId="4A79BB20" w14:textId="77777777" w:rsidR="00D763A4" w:rsidRDefault="00D763A4" w:rsidP="00D763A4">
      <w:pPr>
        <w:keepNext/>
        <w:pBdr>
          <w:bottom w:val="single" w:sz="5" w:space="1" w:color="auto"/>
        </w:pBdr>
        <w:spacing w:before="300" w:after="40"/>
      </w:pPr>
    </w:p>
    <w:p w14:paraId="71042468" w14:textId="4B21849C" w:rsidR="00D763A4" w:rsidRPr="00D763A4" w:rsidRDefault="00D763A4" w:rsidP="005D5977">
      <w:bookmarkStart w:id="0" w:name="copyright-terms-use"/>
      <w:r>
        <w:rPr>
          <w:rFonts w:ascii="Arial Unicode MS" w:eastAsia="Arial Unicode MS" w:hAnsi="Arial Unicode MS" w:cs="Arial Unicode MS"/>
          <w:sz w:val="12"/>
          <w:szCs w:val="12"/>
        </w:rPr>
        <w:t xml:space="preserve">This document has been downloaded from the </w:t>
      </w:r>
      <w:hyperlink r:id="rId7">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8">
        <w:r>
          <w:rPr>
            <w:rFonts w:ascii="Arial Unicode MS" w:eastAsia="Arial Unicode MS" w:hAnsi="Arial Unicode MS" w:cs="Arial Unicode MS"/>
            <w:sz w:val="12"/>
            <w:szCs w:val="12"/>
            <w:u w:val="single"/>
          </w:rPr>
          <w:t>www.bahai.org/legal</w:t>
        </w:r>
      </w:hyperlink>
      <w:bookmarkEnd w:id="0"/>
    </w:p>
    <w:sectPr w:rsidR="00D763A4" w:rsidRPr="00D763A4" w:rsidSect="0027335D">
      <w:headerReference w:type="default" r:id="rId9"/>
      <w:headerReference w:type="first" r:id="rId10"/>
      <w:pgSz w:w="11906" w:h="16838" w:code="9"/>
      <w:pgMar w:top="1440" w:right="1440" w:bottom="108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3C90D" w14:textId="77777777" w:rsidR="0045417A" w:rsidRDefault="0045417A">
      <w:r>
        <w:separator/>
      </w:r>
    </w:p>
  </w:endnote>
  <w:endnote w:type="continuationSeparator" w:id="0">
    <w:p w14:paraId="0C5F2765" w14:textId="77777777" w:rsidR="0045417A" w:rsidRDefault="0045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C4695" w14:textId="77777777" w:rsidR="0045417A" w:rsidRDefault="0045417A">
      <w:r>
        <w:separator/>
      </w:r>
    </w:p>
  </w:footnote>
  <w:footnote w:type="continuationSeparator" w:id="0">
    <w:p w14:paraId="00DC33F4" w14:textId="77777777" w:rsidR="0045417A" w:rsidRDefault="0045417A">
      <w:r>
        <w:continuationSeparator/>
      </w:r>
    </w:p>
  </w:footnote>
  <w:footnote w:id="1">
    <w:p w14:paraId="7E2B400F" w14:textId="77777777" w:rsidR="001D175E" w:rsidRDefault="001D175E" w:rsidP="00713BE5">
      <w:pPr>
        <w:pStyle w:val="FootnoteText"/>
        <w:tabs>
          <w:tab w:val="left" w:pos="144"/>
        </w:tabs>
      </w:pPr>
      <w:r>
        <w:rPr>
          <w:rStyle w:val="FootnoteReference"/>
        </w:rPr>
        <w:footnoteRef/>
      </w:r>
      <w:r>
        <w:t xml:space="preserve"> The numbers in brackets refer to the paragraphs of the 2007 revision of the compilation on </w:t>
      </w:r>
      <w:r>
        <w:tab/>
        <w:t>Ḥuqúqu’lláh issued by</w:t>
      </w:r>
      <w:r w:rsidR="008330B3">
        <w:t xml:space="preserve"> the Univer</w:t>
      </w:r>
      <w:r w:rsidR="00940F6D">
        <w:t>sal House of Justice, as amended</w:t>
      </w:r>
      <w:r w:rsidR="008330B3">
        <w:t xml:space="preserve"> in August 2009.</w:t>
      </w:r>
    </w:p>
  </w:footnote>
  <w:footnote w:id="2">
    <w:p w14:paraId="5C457EFA" w14:textId="77777777" w:rsidR="001D175E" w:rsidRDefault="001D175E" w:rsidP="001B73B7">
      <w:pPr>
        <w:pStyle w:val="FootnoteText"/>
      </w:pPr>
      <w:r>
        <w:rPr>
          <w:rStyle w:val="FootnoteReference"/>
        </w:rPr>
        <w:footnoteRef/>
      </w:r>
      <w:r>
        <w:t xml:space="preserve"> See III.C.5.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27" w:type="dxa"/>
      <w:tblLayout w:type="fixed"/>
      <w:tblCellMar>
        <w:left w:w="0" w:type="dxa"/>
        <w:right w:w="0" w:type="dxa"/>
      </w:tblCellMar>
      <w:tblLook w:val="0000" w:firstRow="0" w:lastRow="0" w:firstColumn="0" w:lastColumn="0" w:noHBand="0" w:noVBand="0"/>
    </w:tblPr>
    <w:tblGrid>
      <w:gridCol w:w="5580"/>
      <w:gridCol w:w="3447"/>
    </w:tblGrid>
    <w:tr w:rsidR="001D175E" w14:paraId="23586972" w14:textId="77777777" w:rsidTr="00432ED3">
      <w:tc>
        <w:tcPr>
          <w:tcW w:w="5580" w:type="dxa"/>
        </w:tcPr>
        <w:p w14:paraId="2042EBEB" w14:textId="77777777" w:rsidR="001D175E" w:rsidRDefault="001D175E">
          <w:pPr>
            <w:pStyle w:val="BWCNormal"/>
          </w:pPr>
          <w:r>
            <w:t xml:space="preserve">A Codification of the Law of Ḥuqúqu’lláh </w:t>
          </w:r>
        </w:p>
      </w:tc>
      <w:tc>
        <w:tcPr>
          <w:tcW w:w="3447" w:type="dxa"/>
        </w:tcPr>
        <w:p w14:paraId="426151F0" w14:textId="77777777" w:rsidR="001D175E" w:rsidRDefault="001D175E">
          <w:pPr>
            <w:pStyle w:val="BWCNormal"/>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E700AB">
            <w:rPr>
              <w:rStyle w:val="PageNumber"/>
              <w:noProof/>
            </w:rPr>
            <w:t>2</w:t>
          </w:r>
          <w:r>
            <w:rPr>
              <w:rStyle w:val="PageNumber"/>
            </w:rPr>
            <w:fldChar w:fldCharType="end"/>
          </w:r>
        </w:p>
        <w:p w14:paraId="2A914D8A" w14:textId="77777777" w:rsidR="001D175E" w:rsidRDefault="001D175E">
          <w:pPr>
            <w:pStyle w:val="BWCNormal"/>
            <w:jc w:val="right"/>
          </w:pPr>
        </w:p>
      </w:tc>
    </w:tr>
  </w:tbl>
  <w:p w14:paraId="41F2C3B6" w14:textId="77777777" w:rsidR="001D175E" w:rsidRDefault="001D175E">
    <w:pPr>
      <w:pStyle w:val="BWC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E8CC" w14:textId="77777777" w:rsidR="001D175E" w:rsidRDefault="001D175E" w:rsidP="00A508F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3CC"/>
    <w:multiLevelType w:val="singleLevel"/>
    <w:tmpl w:val="5344D9A2"/>
    <w:lvl w:ilvl="0">
      <w:start w:val="1"/>
      <w:numFmt w:val="bullet"/>
      <w:pStyle w:val="BWCBullet"/>
      <w:lvlText w:val=""/>
      <w:lvlJc w:val="left"/>
      <w:pPr>
        <w:tabs>
          <w:tab w:val="num" w:pos="360"/>
        </w:tabs>
        <w:ind w:left="360" w:hanging="360"/>
      </w:pPr>
      <w:rPr>
        <w:rFonts w:ascii="Symbol" w:hAnsi="Symbol" w:hint="default"/>
      </w:rPr>
    </w:lvl>
  </w:abstractNum>
  <w:abstractNum w:abstractNumId="1" w15:restartNumberingAfterBreak="0">
    <w:nsid w:val="1D3D608B"/>
    <w:multiLevelType w:val="singleLevel"/>
    <w:tmpl w:val="CBCA8FC0"/>
    <w:lvl w:ilvl="0">
      <w:start w:val="1"/>
      <w:numFmt w:val="decimal"/>
      <w:pStyle w:val="BWCList"/>
      <w:lvlText w:val="%1."/>
      <w:lvlJc w:val="left"/>
      <w:pPr>
        <w:tabs>
          <w:tab w:val="num" w:pos="360"/>
        </w:tabs>
        <w:ind w:left="360" w:hanging="360"/>
      </w:pPr>
    </w:lvl>
  </w:abstractNum>
  <w:abstractNum w:abstractNumId="2" w15:restartNumberingAfterBreak="0">
    <w:nsid w:val="2AFA7049"/>
    <w:multiLevelType w:val="singleLevel"/>
    <w:tmpl w:val="7800F8DC"/>
    <w:lvl w:ilvl="0">
      <w:start w:val="1"/>
      <w:numFmt w:val="upperRoman"/>
      <w:pStyle w:val="Heading1"/>
      <w:lvlText w:val="%1."/>
      <w:lvlJc w:val="left"/>
      <w:pPr>
        <w:tabs>
          <w:tab w:val="num" w:pos="810"/>
        </w:tabs>
        <w:ind w:left="810" w:hanging="720"/>
      </w:pPr>
    </w:lvl>
  </w:abstractNum>
  <w:abstractNum w:abstractNumId="3" w15:restartNumberingAfterBreak="0">
    <w:nsid w:val="39FB0C62"/>
    <w:multiLevelType w:val="singleLevel"/>
    <w:tmpl w:val="04090015"/>
    <w:lvl w:ilvl="0">
      <w:start w:val="1"/>
      <w:numFmt w:val="upperLetter"/>
      <w:lvlText w:val="%1."/>
      <w:lvlJc w:val="left"/>
      <w:pPr>
        <w:tabs>
          <w:tab w:val="num" w:pos="360"/>
        </w:tabs>
        <w:ind w:left="360" w:hanging="360"/>
      </w:pPr>
    </w:lvl>
  </w:abstractNum>
  <w:abstractNum w:abstractNumId="4" w15:restartNumberingAfterBreak="0">
    <w:nsid w:val="5B087F08"/>
    <w:multiLevelType w:val="singleLevel"/>
    <w:tmpl w:val="04090017"/>
    <w:lvl w:ilvl="0">
      <w:start w:val="1"/>
      <w:numFmt w:val="lowerLetter"/>
      <w:lvlText w:val="%1)"/>
      <w:lvlJc w:val="left"/>
      <w:pPr>
        <w:tabs>
          <w:tab w:val="num" w:pos="1890"/>
        </w:tabs>
        <w:ind w:left="1890" w:hanging="360"/>
      </w:pPr>
    </w:lvl>
  </w:abstractNum>
  <w:num w:numId="1" w16cid:durableId="292491146">
    <w:abstractNumId w:val="0"/>
  </w:num>
  <w:num w:numId="2" w16cid:durableId="1256086744">
    <w:abstractNumId w:val="1"/>
  </w:num>
  <w:num w:numId="3" w16cid:durableId="440688938">
    <w:abstractNumId w:val="2"/>
  </w:num>
  <w:num w:numId="4" w16cid:durableId="1657371092">
    <w:abstractNumId w:val="3"/>
  </w:num>
  <w:num w:numId="5" w16cid:durableId="2064329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7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07BF"/>
    <w:rsid w:val="0007160D"/>
    <w:rsid w:val="00094D03"/>
    <w:rsid w:val="000A5FD0"/>
    <w:rsid w:val="000C37C7"/>
    <w:rsid w:val="000D05DF"/>
    <w:rsid w:val="000D309F"/>
    <w:rsid w:val="00137FD2"/>
    <w:rsid w:val="0014450D"/>
    <w:rsid w:val="0014482A"/>
    <w:rsid w:val="0018506A"/>
    <w:rsid w:val="001B73B7"/>
    <w:rsid w:val="001C1D7D"/>
    <w:rsid w:val="001C1F91"/>
    <w:rsid w:val="001C7AD1"/>
    <w:rsid w:val="001D175E"/>
    <w:rsid w:val="001F522B"/>
    <w:rsid w:val="001F6C90"/>
    <w:rsid w:val="00251026"/>
    <w:rsid w:val="0027335D"/>
    <w:rsid w:val="00296843"/>
    <w:rsid w:val="002D6341"/>
    <w:rsid w:val="00302223"/>
    <w:rsid w:val="0031548F"/>
    <w:rsid w:val="0032161E"/>
    <w:rsid w:val="0032501B"/>
    <w:rsid w:val="00332056"/>
    <w:rsid w:val="00333D95"/>
    <w:rsid w:val="00336B12"/>
    <w:rsid w:val="00352C40"/>
    <w:rsid w:val="003536A2"/>
    <w:rsid w:val="003564A3"/>
    <w:rsid w:val="00395D5D"/>
    <w:rsid w:val="003F6DD5"/>
    <w:rsid w:val="00406B99"/>
    <w:rsid w:val="00432ED3"/>
    <w:rsid w:val="0045417A"/>
    <w:rsid w:val="00470901"/>
    <w:rsid w:val="004740BF"/>
    <w:rsid w:val="00481F40"/>
    <w:rsid w:val="004A1AB6"/>
    <w:rsid w:val="004E4923"/>
    <w:rsid w:val="00520DD7"/>
    <w:rsid w:val="00526498"/>
    <w:rsid w:val="00547509"/>
    <w:rsid w:val="005A6874"/>
    <w:rsid w:val="005B6CDA"/>
    <w:rsid w:val="005D5977"/>
    <w:rsid w:val="00604B88"/>
    <w:rsid w:val="00617A4D"/>
    <w:rsid w:val="00621AE5"/>
    <w:rsid w:val="006231AB"/>
    <w:rsid w:val="006350AC"/>
    <w:rsid w:val="006413B6"/>
    <w:rsid w:val="00656C1B"/>
    <w:rsid w:val="00695B2C"/>
    <w:rsid w:val="006E275E"/>
    <w:rsid w:val="006E782E"/>
    <w:rsid w:val="00705A2F"/>
    <w:rsid w:val="0071111E"/>
    <w:rsid w:val="00713BE5"/>
    <w:rsid w:val="0074788D"/>
    <w:rsid w:val="00753899"/>
    <w:rsid w:val="007545FF"/>
    <w:rsid w:val="00765C32"/>
    <w:rsid w:val="00775BFC"/>
    <w:rsid w:val="00776D52"/>
    <w:rsid w:val="007801ED"/>
    <w:rsid w:val="00782DCA"/>
    <w:rsid w:val="00783E4D"/>
    <w:rsid w:val="00793CF6"/>
    <w:rsid w:val="007A1932"/>
    <w:rsid w:val="007A2163"/>
    <w:rsid w:val="007A4C7A"/>
    <w:rsid w:val="007D5500"/>
    <w:rsid w:val="00800994"/>
    <w:rsid w:val="008015B6"/>
    <w:rsid w:val="008330B3"/>
    <w:rsid w:val="0084742E"/>
    <w:rsid w:val="00863083"/>
    <w:rsid w:val="00863A5E"/>
    <w:rsid w:val="00867C55"/>
    <w:rsid w:val="008707BF"/>
    <w:rsid w:val="0087428F"/>
    <w:rsid w:val="008924AB"/>
    <w:rsid w:val="00893777"/>
    <w:rsid w:val="008A0F78"/>
    <w:rsid w:val="008B2F2F"/>
    <w:rsid w:val="008C704F"/>
    <w:rsid w:val="00902BBC"/>
    <w:rsid w:val="00904577"/>
    <w:rsid w:val="00907F57"/>
    <w:rsid w:val="00912D1B"/>
    <w:rsid w:val="00923494"/>
    <w:rsid w:val="00940F6D"/>
    <w:rsid w:val="00952E67"/>
    <w:rsid w:val="009544F4"/>
    <w:rsid w:val="009626BC"/>
    <w:rsid w:val="009801C2"/>
    <w:rsid w:val="0098372A"/>
    <w:rsid w:val="00995FFE"/>
    <w:rsid w:val="009D5F16"/>
    <w:rsid w:val="009F148A"/>
    <w:rsid w:val="009F2D10"/>
    <w:rsid w:val="00A067EC"/>
    <w:rsid w:val="00A17374"/>
    <w:rsid w:val="00A21575"/>
    <w:rsid w:val="00A21E20"/>
    <w:rsid w:val="00A36558"/>
    <w:rsid w:val="00A508F6"/>
    <w:rsid w:val="00A82B0A"/>
    <w:rsid w:val="00A91342"/>
    <w:rsid w:val="00A91C55"/>
    <w:rsid w:val="00A9739B"/>
    <w:rsid w:val="00AA49B1"/>
    <w:rsid w:val="00AA7F36"/>
    <w:rsid w:val="00AC2886"/>
    <w:rsid w:val="00AE740A"/>
    <w:rsid w:val="00B232AB"/>
    <w:rsid w:val="00B327C1"/>
    <w:rsid w:val="00B5701E"/>
    <w:rsid w:val="00BA34E1"/>
    <w:rsid w:val="00BE467A"/>
    <w:rsid w:val="00C118FA"/>
    <w:rsid w:val="00C11DB6"/>
    <w:rsid w:val="00C2240F"/>
    <w:rsid w:val="00C368F8"/>
    <w:rsid w:val="00C74B42"/>
    <w:rsid w:val="00C92299"/>
    <w:rsid w:val="00CB4C27"/>
    <w:rsid w:val="00CC63D3"/>
    <w:rsid w:val="00CE43E5"/>
    <w:rsid w:val="00D467B2"/>
    <w:rsid w:val="00D51726"/>
    <w:rsid w:val="00D52EBD"/>
    <w:rsid w:val="00D763A4"/>
    <w:rsid w:val="00DC5101"/>
    <w:rsid w:val="00DC5A7E"/>
    <w:rsid w:val="00DD1FF6"/>
    <w:rsid w:val="00DF1EFB"/>
    <w:rsid w:val="00E119EB"/>
    <w:rsid w:val="00E5557A"/>
    <w:rsid w:val="00E64C73"/>
    <w:rsid w:val="00E700AB"/>
    <w:rsid w:val="00E81E23"/>
    <w:rsid w:val="00E828AC"/>
    <w:rsid w:val="00E97E2F"/>
    <w:rsid w:val="00EE3147"/>
    <w:rsid w:val="00F009AF"/>
    <w:rsid w:val="00F60D97"/>
    <w:rsid w:val="00F93E61"/>
    <w:rsid w:val="00FB32E9"/>
    <w:rsid w:val="00FC08FB"/>
    <w:rsid w:val="00FD73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hapeDefaults>
    <o:shapedefaults v:ext="edit" spidmax="2050"/>
    <o:shapelayout v:ext="edit">
      <o:idmap v:ext="edit" data="2"/>
    </o:shapelayout>
  </w:shapeDefaults>
  <w:decimalSymbol w:val="."/>
  <w:listSeparator w:val=","/>
  <w14:docId w14:val="38C633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B42"/>
    <w:pPr>
      <w:spacing w:line="252" w:lineRule="auto"/>
    </w:pPr>
    <w:rPr>
      <w:rFonts w:ascii="Times Ext Roman" w:hAnsi="Times Ext Roman"/>
      <w:w w:val="102"/>
      <w:kern w:val="20"/>
      <w:sz w:val="23"/>
      <w:lang w:val="en-GB"/>
    </w:rPr>
  </w:style>
  <w:style w:type="paragraph" w:styleId="Heading1">
    <w:name w:val="heading 1"/>
    <w:basedOn w:val="Normal"/>
    <w:next w:val="Normal"/>
    <w:qFormat/>
    <w:rsid w:val="00C74B42"/>
    <w:pPr>
      <w:keepNext/>
      <w:numPr>
        <w:numId w:val="3"/>
      </w:numPr>
      <w:outlineLvl w:val="0"/>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rsid w:val="00940F6D"/>
    <w:pPr>
      <w:tabs>
        <w:tab w:val="left" w:pos="360"/>
      </w:tabs>
    </w:pPr>
  </w:style>
  <w:style w:type="paragraph" w:customStyle="1" w:styleId="BWCBodyText">
    <w:name w:val="BWC Body Text"/>
    <w:basedOn w:val="Normal"/>
    <w:pPr>
      <w:ind w:firstLine="576"/>
    </w:pPr>
  </w:style>
  <w:style w:type="paragraph" w:customStyle="1" w:styleId="BWCClosing">
    <w:name w:val="BWC Closing"/>
    <w:basedOn w:val="Normal"/>
    <w:next w:val="BWCSignature"/>
    <w:rsid w:val="00940F6D"/>
    <w:pPr>
      <w:spacing w:before="240" w:after="720"/>
      <w:ind w:left="4320"/>
    </w:pPr>
  </w:style>
  <w:style w:type="paragraph" w:customStyle="1" w:styleId="BWCGreeting">
    <w:name w:val="BWC Greeting"/>
    <w:basedOn w:val="Normal"/>
    <w:next w:val="BWCBodyText"/>
    <w:rsid w:val="00940F6D"/>
    <w:pPr>
      <w:spacing w:before="480" w:after="240"/>
    </w:pPr>
  </w:style>
  <w:style w:type="paragraph" w:customStyle="1" w:styleId="BWCInternalInfo">
    <w:name w:val="BWC Internal Info"/>
    <w:basedOn w:val="Normal"/>
    <w:rsid w:val="00940F6D"/>
  </w:style>
  <w:style w:type="paragraph" w:styleId="PlainText">
    <w:name w:val="Plain Text"/>
    <w:basedOn w:val="Normal"/>
    <w:rPr>
      <w:rFonts w:ascii="Courier New" w:hAnsi="Courier New" w:cs="Courier New"/>
      <w:sz w:val="20"/>
    </w:rPr>
  </w:style>
  <w:style w:type="paragraph" w:customStyle="1" w:styleId="BWCXBCInfo">
    <w:name w:val="BWC XBC Info"/>
    <w:basedOn w:val="Normal"/>
    <w:rsid w:val="00940F6D"/>
  </w:style>
  <w:style w:type="paragraph" w:customStyle="1" w:styleId="BWCFileInfo">
    <w:name w:val="BWC File Info"/>
    <w:basedOn w:val="Normal"/>
    <w:rsid w:val="00940F6D"/>
  </w:style>
  <w:style w:type="character" w:customStyle="1" w:styleId="BWCComment">
    <w:name w:val="BWC Comment"/>
    <w:rPr>
      <w:vanish w:val="0"/>
      <w:shd w:val="clear" w:color="auto" w:fill="C0C0C0"/>
    </w:rPr>
  </w:style>
  <w:style w:type="paragraph" w:styleId="Header">
    <w:name w:val="header"/>
    <w:basedOn w:val="Normal"/>
    <w:pPr>
      <w:tabs>
        <w:tab w:val="right" w:pos="9000"/>
      </w:tabs>
    </w:pPr>
  </w:style>
  <w:style w:type="paragraph" w:customStyle="1" w:styleId="BWCAttrib">
    <w:name w:val="BWC Attrib"/>
    <w:basedOn w:val="BWCQuote"/>
    <w:next w:val="BWCBodyText"/>
    <w:pPr>
      <w:tabs>
        <w:tab w:val="right" w:pos="9000"/>
      </w:tabs>
      <w:ind w:left="1238" w:right="216" w:hanging="86"/>
    </w:pPr>
  </w:style>
  <w:style w:type="paragraph" w:customStyle="1" w:styleId="BWCBullet">
    <w:name w:val="BWC Bullet"/>
    <w:basedOn w:val="Normal"/>
    <w:pPr>
      <w:numPr>
        <w:numId w:val="1"/>
      </w:numPr>
    </w:pPr>
  </w:style>
  <w:style w:type="paragraph" w:customStyle="1" w:styleId="BWCList">
    <w:name w:val="BWC List"/>
    <w:basedOn w:val="BWCBullet"/>
    <w:pPr>
      <w:numPr>
        <w:numId w:val="2"/>
      </w:numPr>
    </w:pPr>
  </w:style>
  <w:style w:type="paragraph" w:styleId="Footer">
    <w:name w:val="footer"/>
    <w:basedOn w:val="Normal"/>
    <w:pPr>
      <w:tabs>
        <w:tab w:val="center" w:pos="4320"/>
        <w:tab w:val="right" w:pos="8640"/>
      </w:tabs>
    </w:pPr>
  </w:style>
  <w:style w:type="paragraph" w:customStyle="1" w:styleId="BWCDate">
    <w:name w:val="BWC Date"/>
    <w:basedOn w:val="Normal"/>
    <w:next w:val="BWCNormal"/>
    <w:rsid w:val="00940F6D"/>
    <w:pPr>
      <w:tabs>
        <w:tab w:val="right" w:pos="7747"/>
      </w:tabs>
      <w:spacing w:after="240"/>
    </w:pPr>
  </w:style>
  <w:style w:type="paragraph" w:customStyle="1" w:styleId="BWCSignature">
    <w:name w:val="BWC Signature"/>
    <w:basedOn w:val="BWCClosing"/>
    <w:next w:val="BWCNormal"/>
    <w:rsid w:val="00940F6D"/>
    <w:pPr>
      <w:spacing w:before="0" w:after="480"/>
    </w:pPr>
  </w:style>
  <w:style w:type="paragraph" w:styleId="FootnoteText">
    <w:name w:val="footnote text"/>
    <w:basedOn w:val="Normal"/>
    <w:semiHidden/>
    <w:rPr>
      <w:sz w:val="22"/>
      <w:szCs w:val="22"/>
    </w:rPr>
  </w:style>
  <w:style w:type="character" w:styleId="PageNumber">
    <w:name w:val="page number"/>
    <w:basedOn w:val="DefaultParagraphFont"/>
  </w:style>
  <w:style w:type="paragraph" w:customStyle="1" w:styleId="BWCQuote">
    <w:name w:val="BWC Quote"/>
    <w:basedOn w:val="BWCBodyText"/>
    <w:pPr>
      <w:ind w:left="576" w:right="576" w:firstLine="0"/>
    </w:pPr>
  </w:style>
  <w:style w:type="paragraph" w:customStyle="1" w:styleId="BWCTitle">
    <w:name w:val="BWC Title"/>
    <w:basedOn w:val="Normal"/>
    <w:next w:val="BWCBodyText"/>
    <w:pPr>
      <w:spacing w:after="240"/>
      <w:jc w:val="center"/>
    </w:pPr>
    <w:rPr>
      <w:u w:val="single"/>
    </w:rPr>
  </w:style>
  <w:style w:type="paragraph" w:customStyle="1" w:styleId="BWCNormal">
    <w:name w:val="BWC Normal"/>
    <w:basedOn w:val="Normal"/>
    <w:link w:val="BWCNormalChar"/>
  </w:style>
  <w:style w:type="paragraph" w:customStyle="1" w:styleId="BWCAttrib2">
    <w:name w:val="BWC Attrib 2"/>
    <w:basedOn w:val="BWCAttrib"/>
    <w:next w:val="BWCBodyText"/>
    <w:pPr>
      <w:ind w:left="1814" w:right="576"/>
    </w:pPr>
  </w:style>
  <w:style w:type="paragraph" w:customStyle="1" w:styleId="BWCAttrib3">
    <w:name w:val="BWC Attrib 3"/>
    <w:basedOn w:val="BWCAttrib"/>
    <w:pPr>
      <w:ind w:left="2390" w:right="1152"/>
    </w:pPr>
  </w:style>
  <w:style w:type="paragraph" w:customStyle="1" w:styleId="BWCQuote2">
    <w:name w:val="BWC Quote 2"/>
    <w:basedOn w:val="BWCQuote"/>
    <w:pPr>
      <w:ind w:left="1152" w:right="1152"/>
    </w:pPr>
  </w:style>
  <w:style w:type="paragraph" w:customStyle="1" w:styleId="BWCAttrib4">
    <w:name w:val="BWC Attrib 4"/>
    <w:basedOn w:val="BWCAttrib"/>
    <w:next w:val="BWCBodyText"/>
    <w:pPr>
      <w:ind w:left="2678" w:right="1728"/>
    </w:pPr>
  </w:style>
  <w:style w:type="paragraph" w:customStyle="1" w:styleId="BWCQuote3">
    <w:name w:val="BWC Quote 3"/>
    <w:basedOn w:val="BWCQuote"/>
    <w:pPr>
      <w:ind w:left="1728" w:right="1728"/>
    </w:pPr>
  </w:style>
  <w:style w:type="character" w:styleId="FootnoteReference">
    <w:name w:val="footnote reference"/>
    <w:semiHidden/>
    <w:rsid w:val="00C74B42"/>
    <w:rPr>
      <w:vertAlign w:val="superscript"/>
    </w:rPr>
  </w:style>
  <w:style w:type="paragraph" w:customStyle="1" w:styleId="BWCZLogStamp">
    <w:name w:val="BWC ZLogStamp"/>
    <w:basedOn w:val="Normal"/>
    <w:rsid w:val="00940F6D"/>
    <w:rPr>
      <w:lang w:val="en-US"/>
    </w:rPr>
  </w:style>
  <w:style w:type="paragraph" w:styleId="BodyTextIndent">
    <w:name w:val="Body Text Indent"/>
    <w:basedOn w:val="Normal"/>
    <w:rsid w:val="00C74B42"/>
    <w:pPr>
      <w:spacing w:after="230" w:line="240" w:lineRule="auto"/>
      <w:ind w:left="720" w:hanging="360"/>
    </w:pPr>
    <w:rPr>
      <w:lang w:val="en-US"/>
    </w:rPr>
  </w:style>
  <w:style w:type="paragraph" w:styleId="BalloonText">
    <w:name w:val="Balloon Text"/>
    <w:basedOn w:val="Normal"/>
    <w:semiHidden/>
    <w:rsid w:val="00CC63D3"/>
    <w:rPr>
      <w:rFonts w:ascii="Tahoma" w:hAnsi="Tahoma" w:cs="Tahoma"/>
      <w:sz w:val="16"/>
      <w:szCs w:val="16"/>
    </w:rPr>
  </w:style>
  <w:style w:type="character" w:customStyle="1" w:styleId="BWCNormalChar">
    <w:name w:val="BWC Normal Char"/>
    <w:link w:val="BWCNormal"/>
    <w:rsid w:val="00481F40"/>
    <w:rPr>
      <w:rFonts w:ascii="Times Ext Roman" w:hAnsi="Times Ext Roman"/>
      <w:w w:val="102"/>
      <w:kern w:val="20"/>
      <w:sz w:val="23"/>
      <w:lang w:val="en-GB" w:eastAsia="en-US" w:bidi="ar-SA"/>
    </w:rPr>
  </w:style>
  <w:style w:type="character" w:styleId="CommentReference">
    <w:name w:val="annotation reference"/>
    <w:rsid w:val="00D52EBD"/>
    <w:rPr>
      <w:sz w:val="16"/>
      <w:szCs w:val="16"/>
    </w:rPr>
  </w:style>
  <w:style w:type="paragraph" w:styleId="CommentText">
    <w:name w:val="annotation text"/>
    <w:basedOn w:val="Normal"/>
    <w:link w:val="CommentTextChar"/>
    <w:rsid w:val="00D52EBD"/>
    <w:rPr>
      <w:sz w:val="20"/>
    </w:rPr>
  </w:style>
  <w:style w:type="character" w:customStyle="1" w:styleId="CommentTextChar">
    <w:name w:val="Comment Text Char"/>
    <w:link w:val="CommentText"/>
    <w:rsid w:val="00D52EBD"/>
    <w:rPr>
      <w:rFonts w:ascii="Times Ext Roman" w:hAnsi="Times Ext Roman"/>
      <w:w w:val="102"/>
      <w:kern w:val="20"/>
      <w:lang w:val="en-GB"/>
    </w:rPr>
  </w:style>
  <w:style w:type="paragraph" w:styleId="CommentSubject">
    <w:name w:val="annotation subject"/>
    <w:basedOn w:val="CommentText"/>
    <w:next w:val="CommentText"/>
    <w:link w:val="CommentSubjectChar"/>
    <w:rsid w:val="00D52EBD"/>
    <w:rPr>
      <w:b/>
      <w:bCs/>
    </w:rPr>
  </w:style>
  <w:style w:type="character" w:customStyle="1" w:styleId="CommentSubjectChar">
    <w:name w:val="Comment Subject Char"/>
    <w:link w:val="CommentSubject"/>
    <w:rsid w:val="00D52EBD"/>
    <w:rPr>
      <w:rFonts w:ascii="Times Ext Roman" w:hAnsi="Times Ext Roman"/>
      <w:b/>
      <w:bCs/>
      <w:w w:val="102"/>
      <w:kern w:val="20"/>
      <w:lang w:val="en-GB"/>
    </w:rPr>
  </w:style>
  <w:style w:type="paragraph" w:styleId="Revision">
    <w:name w:val="Revision"/>
    <w:hidden/>
    <w:uiPriority w:val="99"/>
    <w:semiHidden/>
    <w:rsid w:val="00DF1EFB"/>
    <w:rPr>
      <w:rFonts w:ascii="Times Ext Roman" w:hAnsi="Times Ext Roman"/>
      <w:w w:val="102"/>
      <w:kern w:val="20"/>
      <w:sz w:val="2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3" Type="http://schemas.openxmlformats.org/officeDocument/2006/relationships/settings" Target="settings.xml"/><Relationship Id="rId7" Type="http://schemas.openxmlformats.org/officeDocument/2006/relationships/hyperlink" Target="http://www.bahai.org/libra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1786</Words>
  <Characters>10182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11945</CharactersWithSpaces>
  <SharedDoc>false</SharedDoc>
  <HLinks>
    <vt:vector size="12" baseType="variant">
      <vt:variant>
        <vt:i4>2555943</vt:i4>
      </vt:variant>
      <vt:variant>
        <vt:i4>3</vt:i4>
      </vt:variant>
      <vt:variant>
        <vt:i4>0</vt:i4>
      </vt:variant>
      <vt:variant>
        <vt:i4>5</vt:i4>
      </vt:variant>
      <vt:variant>
        <vt:lpwstr>http://www.bahai.org/legal</vt:lpwstr>
      </vt:variant>
      <vt:variant>
        <vt:lpwstr/>
      </vt:variant>
      <vt:variant>
        <vt:i4>5636170</vt:i4>
      </vt:variant>
      <vt:variant>
        <vt:i4>0</vt:i4>
      </vt:variant>
      <vt:variant>
        <vt:i4>0</vt:i4>
      </vt:variant>
      <vt:variant>
        <vt:i4>5</vt:i4>
      </vt:variant>
      <vt:variant>
        <vt:lpwstr>http://www.bahai.org/library/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2023-07-08T08:44:00Z</dcterms:created>
  <dcterms:modified xsi:type="dcterms:W3CDTF">2023-07-09T05:24:00Z</dcterms:modified>
</cp:coreProperties>
</file>